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427" w:rsidRPr="0068762C" w:rsidRDefault="009F3427" w:rsidP="0068762C">
      <w:pPr>
        <w:pStyle w:val="Title"/>
        <w:rPr>
          <w:rFonts w:asciiTheme="majorHAnsi" w:hAnsiTheme="majorHAnsi"/>
        </w:rPr>
      </w:pPr>
      <w:r w:rsidRPr="0068762C">
        <w:rPr>
          <w:rFonts w:asciiTheme="majorHAnsi" w:hAnsiTheme="majorHAnsi"/>
        </w:rPr>
        <w:t>Assessment of SOA Adoption Feasibility</w:t>
      </w:r>
      <w:bookmarkStart w:id="0" w:name="_GoBack"/>
      <w:bookmarkEnd w:id="0"/>
    </w:p>
    <w:p w:rsidR="009F3427" w:rsidRDefault="009F3427" w:rsidP="009F3427">
      <w:pPr>
        <w:rPr>
          <w:color w:val="1F497D"/>
        </w:rPr>
      </w:pPr>
    </w:p>
    <w:p w:rsidR="009F3427" w:rsidRDefault="009F3427" w:rsidP="009F3427">
      <w:pPr>
        <w:rPr>
          <w:color w:val="1F497D"/>
        </w:rPr>
      </w:pPr>
    </w:p>
    <w:p w:rsidR="009F3427" w:rsidRDefault="009F3427" w:rsidP="009F3427">
      <w:pPr>
        <w:rPr>
          <w:color w:val="1F497D"/>
        </w:rPr>
      </w:pPr>
    </w:p>
    <w:p w:rsidR="009F3427" w:rsidRDefault="009F3427" w:rsidP="009F3427">
      <w:pPr>
        <w:rPr>
          <w:color w:val="1F497D"/>
        </w:rPr>
      </w:pPr>
    </w:p>
    <w:p w:rsidR="009F3427" w:rsidRDefault="009F3427" w:rsidP="009F3427">
      <w:pPr>
        <w:rPr>
          <w:color w:val="1F497D"/>
        </w:rPr>
      </w:pPr>
    </w:p>
    <w:p w:rsidR="009F3427" w:rsidRPr="009F3427" w:rsidRDefault="009F3427" w:rsidP="009F3427">
      <w:pPr>
        <w:rPr>
          <w:color w:val="1F497D"/>
        </w:rPr>
      </w:pPr>
      <w:r w:rsidRPr="009F3427">
        <w:rPr>
          <w:color w:val="1F497D"/>
        </w:rPr>
        <w:t>Copyright 2010 Carnegie Mellon University</w:t>
      </w:r>
    </w:p>
    <w:p w:rsidR="009F3427" w:rsidRPr="009F3427" w:rsidRDefault="009F3427" w:rsidP="009F3427">
      <w:pPr>
        <w:rPr>
          <w:color w:val="1F497D"/>
        </w:rPr>
      </w:pPr>
      <w:r w:rsidRPr="009F3427">
        <w:rPr>
          <w:color w:val="1F497D"/>
        </w:rPr>
        <w:t xml:space="preserve">This material is based upon work funded and supported by the Department of Defense under Contract No. </w:t>
      </w:r>
      <w:proofErr w:type="gramStart"/>
      <w:r w:rsidRPr="009F3427">
        <w:rPr>
          <w:color w:val="1F497D"/>
        </w:rPr>
        <w:t>FA8721-05-C-0003 with Carnegie Mellon University for the operation of the Software Engineering Institute, a federally funded research and development center.</w:t>
      </w:r>
      <w:proofErr w:type="gramEnd"/>
    </w:p>
    <w:p w:rsidR="009F3427" w:rsidRPr="009F3427" w:rsidRDefault="009F3427" w:rsidP="009F3427">
      <w:pPr>
        <w:rPr>
          <w:color w:val="1F497D"/>
        </w:rPr>
      </w:pPr>
      <w:r w:rsidRPr="009F3427">
        <w:rPr>
          <w:color w:val="1F497D"/>
        </w:rPr>
        <w:t>Any opinions, findings and conclusions or recommendations expressed in this material are those of the author(s) and do not necessarily reflect the views of the United States Department of Defense.</w:t>
      </w:r>
    </w:p>
    <w:p w:rsidR="009F3427" w:rsidRPr="009F3427" w:rsidRDefault="009F3427" w:rsidP="009F3427">
      <w:pPr>
        <w:rPr>
          <w:color w:val="1F497D"/>
        </w:rPr>
      </w:pPr>
      <w:proofErr w:type="gramStart"/>
      <w:r w:rsidRPr="009F3427">
        <w:rPr>
          <w:color w:val="1F497D"/>
        </w:rPr>
        <w:t>NO WARRANTY.</w:t>
      </w:r>
      <w:proofErr w:type="gramEnd"/>
      <w:r w:rsidRPr="009F3427">
        <w:rPr>
          <w:color w:val="1F497D"/>
        </w:rPr>
        <w:t xml:space="preserve">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9F3427" w:rsidRPr="009F3427" w:rsidRDefault="009F3427" w:rsidP="009F3427">
      <w:pPr>
        <w:rPr>
          <w:color w:val="1F497D"/>
        </w:rPr>
      </w:pPr>
      <w:r w:rsidRPr="009F3427">
        <w:rPr>
          <w:color w:val="1F497D"/>
        </w:rPr>
        <w:t>This material has been approved for public release and unlimited distribution except as restricted below.</w:t>
      </w:r>
    </w:p>
    <w:p w:rsidR="009F3427" w:rsidRPr="009F3427" w:rsidRDefault="009F3427" w:rsidP="009F3427">
      <w:pPr>
        <w:rPr>
          <w:color w:val="1F497D"/>
        </w:rPr>
      </w:pPr>
      <w:r w:rsidRPr="009F3427">
        <w:rPr>
          <w:color w:val="1F497D"/>
        </w:rPr>
        <w:t xml:space="preserve">The Government of the United States has a royalty-free government-purpose license to use, duplicate, or </w:t>
      </w:r>
      <w:proofErr w:type="gramStart"/>
      <w:r w:rsidRPr="009F3427">
        <w:rPr>
          <w:color w:val="1F497D"/>
        </w:rPr>
        <w:t>disclose</w:t>
      </w:r>
      <w:proofErr w:type="gramEnd"/>
      <w:r w:rsidRPr="009F3427">
        <w:rPr>
          <w:color w:val="1F497D"/>
        </w:rPr>
        <w:t xml:space="preserve"> the work, in whole or in part and in any manner, and to have or permit others to do so, for government purposes pursuant to the copyright license under the clause at 252.227-7013 and 252.227-7013 Alternate I.</w:t>
      </w:r>
    </w:p>
    <w:p w:rsidR="009F3427" w:rsidRPr="009F3427" w:rsidRDefault="009F3427" w:rsidP="009F3427">
      <w:pPr>
        <w:rPr>
          <w:color w:val="1F497D"/>
        </w:rPr>
      </w:pPr>
      <w:r w:rsidRPr="009F3427">
        <w:rPr>
          <w:color w:val="1F497D"/>
        </w:rPr>
        <w:t xml:space="preserve">This material was prepared for the exclusive use of persons that have directly downloaded the materials from sei.cmu.edu and their students and clients.  </w:t>
      </w:r>
      <w:proofErr w:type="gramStart"/>
      <w:r w:rsidRPr="009F3427">
        <w:rPr>
          <w:color w:val="1F497D"/>
        </w:rPr>
        <w:t xml:space="preserve">If you did not download this material yourself, you may only use it for your own personal study and may not be used for any other purpose without the written consent of </w:t>
      </w:r>
      <w:hyperlink r:id="rId10" w:history="1">
        <w:r w:rsidRPr="009F3427">
          <w:rPr>
            <w:rStyle w:val="Hyperlink"/>
          </w:rPr>
          <w:t>permission@sei.cmu.edu</w:t>
        </w:r>
      </w:hyperlink>
      <w:r w:rsidRPr="009F3427">
        <w:rPr>
          <w:color w:val="1F497D"/>
        </w:rPr>
        <w:t>.</w:t>
      </w:r>
      <w:proofErr w:type="gramEnd"/>
      <w:r w:rsidRPr="009F3427">
        <w:rPr>
          <w:color w:val="1F497D"/>
        </w:rPr>
        <w:t xml:space="preserve"> </w:t>
      </w:r>
    </w:p>
    <w:p w:rsidR="009F3427" w:rsidRPr="009F3427" w:rsidRDefault="009F3427" w:rsidP="009F3427">
      <w:pPr>
        <w:rPr>
          <w:color w:val="1F497D"/>
        </w:rPr>
      </w:pPr>
      <w:r w:rsidRPr="009F3427">
        <w:rPr>
          <w:color w:val="1F497D"/>
        </w:rPr>
        <w:t>DM-0000148</w:t>
      </w:r>
    </w:p>
    <w:p w:rsidR="009F3427" w:rsidRDefault="009F3427" w:rsidP="009F3427">
      <w:pPr>
        <w:rPr>
          <w:color w:val="4F81BD" w:themeColor="accent1"/>
          <w:spacing w:val="10"/>
          <w:kern w:val="28"/>
          <w:sz w:val="52"/>
          <w:szCs w:val="52"/>
        </w:rPr>
      </w:pPr>
      <w:r>
        <w:br w:type="page"/>
      </w:r>
    </w:p>
    <w:p w:rsidR="00250E48" w:rsidRPr="0068762C" w:rsidRDefault="008F090E">
      <w:pPr>
        <w:pStyle w:val="Title"/>
        <w:rPr>
          <w:rFonts w:asciiTheme="majorHAnsi" w:hAnsiTheme="majorHAnsi"/>
        </w:rPr>
      </w:pPr>
      <w:r w:rsidRPr="0068762C">
        <w:rPr>
          <w:rFonts w:asciiTheme="majorHAnsi" w:hAnsiTheme="majorHAnsi"/>
        </w:rPr>
        <w:lastRenderedPageBreak/>
        <w:t xml:space="preserve">Assessment of SOA Adoption Feasibility </w:t>
      </w:r>
      <w:r w:rsidR="0058180A" w:rsidRPr="0068762C">
        <w:rPr>
          <w:rFonts w:asciiTheme="majorHAnsi" w:hAnsiTheme="majorHAnsi"/>
        </w:rPr>
        <w:t xml:space="preserve">for </w:t>
      </w:r>
      <w:r w:rsidR="0058180A" w:rsidRPr="0068762C">
        <w:rPr>
          <w:rFonts w:asciiTheme="majorHAnsi" w:hAnsiTheme="majorHAnsi"/>
          <w:i/>
        </w:rPr>
        <w:t>&lt;Organization&gt;</w:t>
      </w:r>
    </w:p>
    <w:p w:rsidR="00CC1EF4" w:rsidRDefault="00CC1EF4" w:rsidP="00CC1EF4">
      <w:pPr>
        <w:jc w:val="center"/>
        <w:rPr>
          <w:i/>
          <w:sz w:val="24"/>
        </w:rPr>
      </w:pPr>
      <w:r w:rsidRPr="00CC1EF4">
        <w:rPr>
          <w:i/>
          <w:sz w:val="24"/>
        </w:rPr>
        <w:t>&lt;</w:t>
      </w:r>
      <w:r w:rsidR="005B00E1">
        <w:rPr>
          <w:i/>
          <w:sz w:val="24"/>
        </w:rPr>
        <w:t>SMART Team Members</w:t>
      </w:r>
      <w:r w:rsidRPr="00CC1EF4">
        <w:rPr>
          <w:i/>
          <w:sz w:val="24"/>
        </w:rPr>
        <w:t>&gt;</w:t>
      </w:r>
      <w:r>
        <w:rPr>
          <w:i/>
          <w:sz w:val="24"/>
        </w:rPr>
        <w:br/>
        <w:t>&lt;</w:t>
      </w:r>
      <w:r w:rsidR="005B00E1">
        <w:rPr>
          <w:i/>
          <w:sz w:val="24"/>
        </w:rPr>
        <w:t>D</w:t>
      </w:r>
      <w:r w:rsidRPr="00CC1EF4">
        <w:rPr>
          <w:i/>
          <w:sz w:val="24"/>
        </w:rPr>
        <w:t>ate&gt;</w:t>
      </w:r>
    </w:p>
    <w:p w:rsidR="009851C2" w:rsidRDefault="00B567C6" w:rsidP="009851C2">
      <w:pPr>
        <w:pStyle w:val="Heading2"/>
      </w:pPr>
      <w:r>
        <w:t>EXECUTIVE SUMMARY</w:t>
      </w:r>
    </w:p>
    <w:p w:rsidR="009851C2" w:rsidRDefault="009851C2" w:rsidP="009851C2">
      <w:pPr>
        <w:rPr>
          <w:i/>
        </w:rPr>
      </w:pPr>
      <w:r w:rsidRPr="009851C2">
        <w:rPr>
          <w:i/>
        </w:rPr>
        <w:t>This Executive Summary</w:t>
      </w:r>
      <w:r w:rsidR="00B567C6">
        <w:rPr>
          <w:i/>
        </w:rPr>
        <w:t xml:space="preserve"> should summarize the findings of the SMART-AF assessment, and if the assessment is feasible, should briefly indicate the essential strategy for the organization to follow.</w:t>
      </w:r>
      <w:r w:rsidR="0007044D">
        <w:rPr>
          <w:i/>
        </w:rPr>
        <w:t xml:space="preserve"> This section is what will be read by the real decision-maker, and as such, it is important that it be written for that audience.</w:t>
      </w:r>
      <w:r w:rsidR="00B567C6">
        <w:rPr>
          <w:i/>
        </w:rPr>
        <w:t xml:space="preserve"> </w:t>
      </w:r>
    </w:p>
    <w:p w:rsidR="009851C2" w:rsidRDefault="00B567C6" w:rsidP="009851C2">
      <w:pPr>
        <w:rPr>
          <w:i/>
        </w:rPr>
      </w:pPr>
      <w:r>
        <w:rPr>
          <w:i/>
        </w:rPr>
        <w:t xml:space="preserve">First section: Simply state the “yes” or “no” of whether to adopt SOA. </w:t>
      </w:r>
      <w:r w:rsidR="009851C2" w:rsidRPr="009851C2">
        <w:rPr>
          <w:i/>
        </w:rPr>
        <w:t xml:space="preserve"> </w:t>
      </w:r>
    </w:p>
    <w:p w:rsidR="009851C2" w:rsidRDefault="00B567C6" w:rsidP="009851C2">
      <w:proofErr w:type="gramStart"/>
      <w:r>
        <w:rPr>
          <w:i/>
        </w:rPr>
        <w:t>Second section.</w:t>
      </w:r>
      <w:proofErr w:type="gramEnd"/>
      <w:r>
        <w:rPr>
          <w:i/>
        </w:rPr>
        <w:t xml:space="preserve"> Summarize the rationale or the assessment, and briefly summarize </w:t>
      </w:r>
      <w:r w:rsidRPr="00F97B73">
        <w:rPr>
          <w:i/>
        </w:rPr>
        <w:t xml:space="preserve">the </w:t>
      </w:r>
      <w:proofErr w:type="gramStart"/>
      <w:r w:rsidRPr="00F97B73">
        <w:rPr>
          <w:i/>
        </w:rPr>
        <w:t>implications  of</w:t>
      </w:r>
      <w:proofErr w:type="gramEnd"/>
      <w:r w:rsidRPr="00F97B73">
        <w:rPr>
          <w:i/>
        </w:rPr>
        <w:t xml:space="preserve"> each element of the rationale for future activities. </w:t>
      </w:r>
    </w:p>
    <w:p w:rsidR="00B567C6" w:rsidRDefault="00B567C6" w:rsidP="00B567C6">
      <w:pPr>
        <w:rPr>
          <w:i/>
        </w:rPr>
      </w:pPr>
      <w:r>
        <w:rPr>
          <w:i/>
        </w:rPr>
        <w:t>Third section</w:t>
      </w:r>
      <w:r w:rsidRPr="00337EB8">
        <w:rPr>
          <w:i/>
        </w:rPr>
        <w:t xml:space="preserve"> </w:t>
      </w:r>
      <w:r>
        <w:rPr>
          <w:i/>
        </w:rPr>
        <w:t>Describe specific details on how the adoption and introduction of SOA concepts into the organization’s systems development processes and environment should be accomplished. Potential topics include:</w:t>
      </w:r>
    </w:p>
    <w:p w:rsidR="00B567C6" w:rsidRDefault="00B567C6" w:rsidP="00B567C6">
      <w:pPr>
        <w:pStyle w:val="ListParagraph"/>
        <w:numPr>
          <w:ilvl w:val="0"/>
          <w:numId w:val="23"/>
        </w:numPr>
        <w:rPr>
          <w:i/>
        </w:rPr>
      </w:pPr>
      <w:r w:rsidRPr="00F97B73">
        <w:rPr>
          <w:i/>
        </w:rPr>
        <w:t xml:space="preserve">Considerations of business processes: how much re-engineering, what kind of process change or improvement, how SOA </w:t>
      </w:r>
      <w:r>
        <w:rPr>
          <w:i/>
        </w:rPr>
        <w:t>adoption</w:t>
      </w:r>
      <w:r w:rsidRPr="00F97B73">
        <w:rPr>
          <w:i/>
        </w:rPr>
        <w:t xml:space="preserve"> will assis</w:t>
      </w:r>
      <w:r>
        <w:rPr>
          <w:i/>
        </w:rPr>
        <w:t>t</w:t>
      </w:r>
      <w:r w:rsidRPr="00F97B73">
        <w:rPr>
          <w:i/>
        </w:rPr>
        <w:t xml:space="preserve"> in this, what SOA </w:t>
      </w:r>
      <w:r>
        <w:rPr>
          <w:i/>
        </w:rPr>
        <w:t>adoption</w:t>
      </w:r>
      <w:r w:rsidRPr="00F97B73">
        <w:rPr>
          <w:i/>
        </w:rPr>
        <w:t xml:space="preserve"> cannot provide</w:t>
      </w:r>
    </w:p>
    <w:p w:rsidR="00404838" w:rsidRDefault="00404838" w:rsidP="00B567C6">
      <w:pPr>
        <w:pStyle w:val="ListParagraph"/>
        <w:numPr>
          <w:ilvl w:val="0"/>
          <w:numId w:val="23"/>
        </w:numPr>
        <w:rPr>
          <w:i/>
        </w:rPr>
      </w:pPr>
      <w:r w:rsidRPr="00404838">
        <w:rPr>
          <w:i/>
        </w:rPr>
        <w:t>Precisely how the</w:t>
      </w:r>
      <w:r w:rsidR="00B567C6" w:rsidRPr="00404838">
        <w:rPr>
          <w:i/>
        </w:rPr>
        <w:t xml:space="preserve"> organization is </w:t>
      </w:r>
      <w:r w:rsidRPr="00404838">
        <w:rPr>
          <w:i/>
        </w:rPr>
        <w:t xml:space="preserve">considering SOA </w:t>
      </w:r>
      <w:r w:rsidR="00FA076D" w:rsidRPr="00404838">
        <w:rPr>
          <w:i/>
        </w:rPr>
        <w:t>usage</w:t>
      </w:r>
      <w:r w:rsidRPr="00404838">
        <w:rPr>
          <w:i/>
        </w:rPr>
        <w:t xml:space="preserve"> (e.g.</w:t>
      </w:r>
      <w:proofErr w:type="gramStart"/>
      <w:r w:rsidRPr="00404838">
        <w:rPr>
          <w:i/>
        </w:rPr>
        <w:t xml:space="preserve">, </w:t>
      </w:r>
      <w:r w:rsidR="00B567C6" w:rsidRPr="00404838">
        <w:rPr>
          <w:i/>
        </w:rPr>
        <w:t xml:space="preserve"> development</w:t>
      </w:r>
      <w:proofErr w:type="gramEnd"/>
      <w:r w:rsidR="00B567C6" w:rsidRPr="00404838">
        <w:rPr>
          <w:i/>
        </w:rPr>
        <w:t xml:space="preserve"> and usage of internal services only, usage of external services only, </w:t>
      </w:r>
      <w:r w:rsidRPr="00404838">
        <w:rPr>
          <w:i/>
        </w:rPr>
        <w:t>etc</w:t>
      </w:r>
      <w:r w:rsidR="005B00E1">
        <w:rPr>
          <w:i/>
        </w:rPr>
        <w:t>.</w:t>
      </w:r>
      <w:r w:rsidRPr="00404838">
        <w:rPr>
          <w:i/>
        </w:rPr>
        <w:t>)</w:t>
      </w:r>
    </w:p>
    <w:p w:rsidR="00B567C6" w:rsidRPr="00404838" w:rsidRDefault="00B567C6" w:rsidP="00B567C6">
      <w:pPr>
        <w:pStyle w:val="ListParagraph"/>
        <w:numPr>
          <w:ilvl w:val="0"/>
          <w:numId w:val="23"/>
        </w:numPr>
        <w:rPr>
          <w:i/>
        </w:rPr>
      </w:pPr>
      <w:r w:rsidRPr="00404838">
        <w:rPr>
          <w:i/>
        </w:rPr>
        <w:t xml:space="preserve">If migration of legacy systems is recommended, which might be the </w:t>
      </w:r>
      <w:r w:rsidR="005B00E1">
        <w:rPr>
          <w:i/>
        </w:rPr>
        <w:t>optimal services and which l</w:t>
      </w:r>
      <w:r w:rsidRPr="00404838">
        <w:rPr>
          <w:i/>
        </w:rPr>
        <w:t>egacy</w:t>
      </w:r>
      <w:r w:rsidR="005B00E1">
        <w:rPr>
          <w:i/>
        </w:rPr>
        <w:t xml:space="preserve"> will provide the capabilities</w:t>
      </w:r>
    </w:p>
    <w:p w:rsidR="00B567C6" w:rsidRPr="00E5732D" w:rsidRDefault="00B567C6" w:rsidP="00B567C6">
      <w:pPr>
        <w:pStyle w:val="ListParagraph"/>
        <w:numPr>
          <w:ilvl w:val="0"/>
          <w:numId w:val="23"/>
        </w:numPr>
        <w:rPr>
          <w:i/>
        </w:rPr>
      </w:pPr>
      <w:r w:rsidRPr="00E5732D">
        <w:rPr>
          <w:i/>
        </w:rPr>
        <w:t>If acquisition of new capabilities from new services</w:t>
      </w:r>
      <w:r w:rsidR="005B00E1">
        <w:rPr>
          <w:i/>
        </w:rPr>
        <w:t xml:space="preserve"> is recommended, which services and which capabilities</w:t>
      </w:r>
      <w:r w:rsidRPr="00E5732D">
        <w:rPr>
          <w:i/>
        </w:rPr>
        <w:t xml:space="preserve"> </w:t>
      </w:r>
    </w:p>
    <w:p w:rsidR="009851C2" w:rsidRPr="009851C2" w:rsidRDefault="00B567C6" w:rsidP="009851C2">
      <w:pPr>
        <w:pStyle w:val="ListParagraph"/>
        <w:numPr>
          <w:ilvl w:val="0"/>
          <w:numId w:val="23"/>
        </w:numPr>
        <w:rPr>
          <w:i/>
        </w:rPr>
      </w:pPr>
      <w:r w:rsidRPr="00E5732D">
        <w:rPr>
          <w:i/>
        </w:rPr>
        <w:t>Considerati</w:t>
      </w:r>
      <w:r w:rsidR="00404838">
        <w:rPr>
          <w:i/>
        </w:rPr>
        <w:t>ons of infrastructur</w:t>
      </w:r>
      <w:r w:rsidR="00FA076D">
        <w:rPr>
          <w:i/>
        </w:rPr>
        <w:t>e</w:t>
      </w:r>
    </w:p>
    <w:p w:rsidR="00B567C6" w:rsidRPr="00D43FEF" w:rsidRDefault="00B567C6" w:rsidP="00B567C6">
      <w:pPr>
        <w:rPr>
          <w:i/>
        </w:rPr>
      </w:pPr>
      <w:r>
        <w:rPr>
          <w:i/>
        </w:rPr>
        <w:t>Fourth section:</w:t>
      </w:r>
      <w:r w:rsidRPr="00D43FEF">
        <w:rPr>
          <w:i/>
        </w:rPr>
        <w:t xml:space="preserve"> </w:t>
      </w:r>
      <w:r w:rsidR="00404838">
        <w:rPr>
          <w:i/>
        </w:rPr>
        <w:t>summarize</w:t>
      </w:r>
      <w:r w:rsidRPr="00D43FEF">
        <w:rPr>
          <w:i/>
        </w:rPr>
        <w:t xml:space="preserve"> the cost factors that will accompany the migration to SOA</w:t>
      </w:r>
      <w:r>
        <w:rPr>
          <w:i/>
        </w:rPr>
        <w:t xml:space="preserve"> environments</w:t>
      </w:r>
      <w:r w:rsidRPr="00D43FEF">
        <w:rPr>
          <w:i/>
        </w:rPr>
        <w:t>. It should be the widest notion of cost, i.e., if migration of some legacy system is anticipated, “cost” should also include the extent of that legacy system’s downtime (and unavailability for present users)</w:t>
      </w:r>
      <w:r w:rsidR="00404838">
        <w:rPr>
          <w:i/>
        </w:rPr>
        <w:t>; it should also make note of costs that the organization has not considered.</w:t>
      </w:r>
      <w:r w:rsidRPr="00D43FEF">
        <w:rPr>
          <w:i/>
        </w:rPr>
        <w:t>.</w:t>
      </w:r>
    </w:p>
    <w:p w:rsidR="00CC1EF4" w:rsidRDefault="00FD2F50" w:rsidP="009A4068">
      <w:pPr>
        <w:pStyle w:val="Heading2"/>
      </w:pPr>
      <w:r>
        <w:t>Introduction</w:t>
      </w:r>
    </w:p>
    <w:p w:rsidR="009A4068" w:rsidRDefault="00337EB8" w:rsidP="00CC1EF4">
      <w:pPr>
        <w:rPr>
          <w:i/>
        </w:rPr>
      </w:pPr>
      <w:r w:rsidRPr="00785ECB">
        <w:rPr>
          <w:i/>
        </w:rPr>
        <w:t>The</w:t>
      </w:r>
      <w:r w:rsidR="00CC1EF4" w:rsidRPr="00785ECB">
        <w:rPr>
          <w:i/>
        </w:rPr>
        <w:t xml:space="preserve"> </w:t>
      </w:r>
      <w:r w:rsidRPr="00785ECB">
        <w:rPr>
          <w:i/>
        </w:rPr>
        <w:t xml:space="preserve">opening paragraphs of </w:t>
      </w:r>
      <w:r w:rsidR="00FD2F50">
        <w:rPr>
          <w:i/>
        </w:rPr>
        <w:t>this s</w:t>
      </w:r>
      <w:r w:rsidRPr="00785ECB">
        <w:rPr>
          <w:i/>
        </w:rPr>
        <w:t xml:space="preserve">ection </w:t>
      </w:r>
      <w:r w:rsidR="00FD2F50">
        <w:rPr>
          <w:i/>
        </w:rPr>
        <w:t>will</w:t>
      </w:r>
      <w:r w:rsidRPr="00785ECB">
        <w:rPr>
          <w:i/>
        </w:rPr>
        <w:t xml:space="preserve"> </w:t>
      </w:r>
      <w:r w:rsidR="00103079" w:rsidRPr="00785ECB">
        <w:rPr>
          <w:i/>
        </w:rPr>
        <w:t>describe</w:t>
      </w:r>
      <w:r w:rsidR="00CC1EF4" w:rsidRPr="00785ECB">
        <w:rPr>
          <w:i/>
        </w:rPr>
        <w:t xml:space="preserve"> the</w:t>
      </w:r>
      <w:r w:rsidR="00103079" w:rsidRPr="00785ECB">
        <w:rPr>
          <w:i/>
        </w:rPr>
        <w:t xml:space="preserve"> overall content of the document. </w:t>
      </w:r>
      <w:r w:rsidR="008F090E" w:rsidRPr="00785ECB">
        <w:rPr>
          <w:i/>
        </w:rPr>
        <w:t xml:space="preserve">It should begin with the statement that the </w:t>
      </w:r>
      <w:r w:rsidR="00785ECB">
        <w:rPr>
          <w:i/>
        </w:rPr>
        <w:t xml:space="preserve">report is an output of </w:t>
      </w:r>
      <w:r w:rsidR="00785ECB" w:rsidRPr="00785ECB">
        <w:rPr>
          <w:i/>
        </w:rPr>
        <w:t>the SEI’s Service Migration and Reuse Technique  - Adoption Feasibility (SMART-AF)</w:t>
      </w:r>
      <w:r w:rsidR="00785ECB">
        <w:rPr>
          <w:i/>
        </w:rPr>
        <w:t xml:space="preserve"> conducted for &lt;org&gt; on &lt;date&gt;</w:t>
      </w:r>
      <w:r w:rsidR="00785ECB" w:rsidRPr="00785ECB">
        <w:rPr>
          <w:i/>
        </w:rPr>
        <w:t>.</w:t>
      </w:r>
      <w:r w:rsidR="00785ECB">
        <w:rPr>
          <w:i/>
        </w:rPr>
        <w:t xml:space="preserve"> </w:t>
      </w:r>
      <w:r w:rsidR="009A4068">
        <w:rPr>
          <w:i/>
        </w:rPr>
        <w:t xml:space="preserve">It should follow this up with a one sentence description of SMART-AF and how the </w:t>
      </w:r>
      <w:r w:rsidR="008F090E" w:rsidRPr="00785ECB">
        <w:rPr>
          <w:i/>
        </w:rPr>
        <w:t>contents of this report are the finding</w:t>
      </w:r>
      <w:r w:rsidR="0028335E">
        <w:rPr>
          <w:i/>
        </w:rPr>
        <w:t>s</w:t>
      </w:r>
      <w:r w:rsidR="008F090E" w:rsidRPr="00785ECB">
        <w:rPr>
          <w:i/>
        </w:rPr>
        <w:t xml:space="preserve"> from </w:t>
      </w:r>
      <w:r w:rsidR="00785ECB" w:rsidRPr="00785ECB">
        <w:rPr>
          <w:i/>
        </w:rPr>
        <w:t>SMART-AF.</w:t>
      </w:r>
      <w:r w:rsidR="009A4068">
        <w:rPr>
          <w:i/>
        </w:rPr>
        <w:t xml:space="preserve"> The contents (each section) </w:t>
      </w:r>
      <w:r w:rsidR="0028335E">
        <w:rPr>
          <w:i/>
        </w:rPr>
        <w:t>of the report should have a one-</w:t>
      </w:r>
      <w:r w:rsidR="009A4068">
        <w:rPr>
          <w:i/>
        </w:rPr>
        <w:t xml:space="preserve">line introduction. </w:t>
      </w:r>
      <w:r w:rsidR="00203C72">
        <w:rPr>
          <w:i/>
        </w:rPr>
        <w:t>For example, this section could look like:</w:t>
      </w:r>
    </w:p>
    <w:p w:rsidR="00FD2F50" w:rsidRDefault="00FD2F50" w:rsidP="00CC1EF4">
      <w:r>
        <w:t xml:space="preserve">This report is the outcome of an initial investigation into </w:t>
      </w:r>
      <w:r w:rsidR="0028335E">
        <w:t>service-oriented architecture (SOA) adoption</w:t>
      </w:r>
      <w:r>
        <w:t xml:space="preserve"> </w:t>
      </w:r>
      <w:proofErr w:type="gramStart"/>
      <w:r>
        <w:t>within</w:t>
      </w:r>
      <w:r w:rsidRPr="00461D71">
        <w:t xml:space="preserve">  </w:t>
      </w:r>
      <w:r>
        <w:t>&lt;</w:t>
      </w:r>
      <w:proofErr w:type="gramEnd"/>
      <w:r w:rsidRPr="00461D71">
        <w:t>organization</w:t>
      </w:r>
      <w:r>
        <w:t>&gt;</w:t>
      </w:r>
      <w:r w:rsidR="0028335E">
        <w:t xml:space="preserve"> that took place on</w:t>
      </w:r>
      <w:r w:rsidR="000206D2">
        <w:t xml:space="preserve"> &lt;date</w:t>
      </w:r>
      <w:r w:rsidR="0028335E">
        <w:t>s</w:t>
      </w:r>
      <w:r w:rsidR="000206D2">
        <w:t>&gt;</w:t>
      </w:r>
      <w:r w:rsidRPr="00461D71">
        <w:t xml:space="preserve">. </w:t>
      </w:r>
      <w:r>
        <w:t xml:space="preserve"> The investigation employed the SEI’s Service Migration and Reuse </w:t>
      </w:r>
      <w:r>
        <w:lastRenderedPageBreak/>
        <w:t>Technique – Adoption Feasibility (SMART-AF)</w:t>
      </w:r>
      <w:r w:rsidR="000206D2">
        <w:t xml:space="preserve"> to help &lt;organization&gt; establish the feasibility of </w:t>
      </w:r>
      <w:r w:rsidR="0028335E">
        <w:t>SOA adoption and create</w:t>
      </w:r>
      <w:r w:rsidR="000206D2">
        <w:t xml:space="preserve"> a high level strategy to introduce and adopt </w:t>
      </w:r>
      <w:r w:rsidR="000206D2" w:rsidRPr="000206D2">
        <w:t xml:space="preserve">SOA concepts into </w:t>
      </w:r>
      <w:r w:rsidR="000206D2">
        <w:t>&lt;organization&gt;.</w:t>
      </w:r>
    </w:p>
    <w:p w:rsidR="00203C72" w:rsidRDefault="006116FD" w:rsidP="00CC1EF4">
      <w:r>
        <w:t xml:space="preserve">The following section describes the </w:t>
      </w:r>
      <w:r w:rsidRPr="006116FD">
        <w:t>current SOA-related</w:t>
      </w:r>
      <w:r>
        <w:rPr>
          <w:i/>
        </w:rPr>
        <w:t xml:space="preserve"> </w:t>
      </w:r>
      <w:r>
        <w:t xml:space="preserve">knowledge and activities within &lt;organization&gt;. Section </w:t>
      </w:r>
      <w:r w:rsidR="00BF57E9">
        <w:fldChar w:fldCharType="begin"/>
      </w:r>
      <w:r>
        <w:instrText xml:space="preserve"> REF _Ref251241672 \r \h </w:instrText>
      </w:r>
      <w:r w:rsidR="00BF57E9">
        <w:fldChar w:fldCharType="separate"/>
      </w:r>
      <w:r>
        <w:t>2</w:t>
      </w:r>
      <w:r w:rsidR="00BF57E9">
        <w:fldChar w:fldCharType="end"/>
      </w:r>
      <w:r>
        <w:t xml:space="preserve"> highlights the major findings from SMART-AF and provides rationale behind </w:t>
      </w:r>
      <w:r w:rsidR="00203C72">
        <w:t xml:space="preserve">the feasibility of </w:t>
      </w:r>
      <w:r>
        <w:t xml:space="preserve">&lt;organization&gt; to </w:t>
      </w:r>
      <w:r w:rsidR="0028335E">
        <w:t>move to</w:t>
      </w:r>
      <w:r w:rsidR="00203C72">
        <w:t xml:space="preserve"> an SOA environment. Section </w:t>
      </w:r>
      <w:r w:rsidR="00BF57E9">
        <w:fldChar w:fldCharType="begin"/>
      </w:r>
      <w:r w:rsidR="00203C72">
        <w:instrText xml:space="preserve"> REF _Ref251242216 \r \h </w:instrText>
      </w:r>
      <w:r w:rsidR="00BF57E9">
        <w:fldChar w:fldCharType="separate"/>
      </w:r>
      <w:r w:rsidR="00203C72">
        <w:t>3</w:t>
      </w:r>
      <w:r w:rsidR="00BF57E9">
        <w:fldChar w:fldCharType="end"/>
      </w:r>
      <w:r w:rsidR="00203C72">
        <w:t xml:space="preserve"> provides the next steps for &lt;organization&gt; based on the positive </w:t>
      </w:r>
      <w:r w:rsidR="005B00E1">
        <w:t>&lt;</w:t>
      </w:r>
      <w:r w:rsidR="00203C72">
        <w:t>or negative</w:t>
      </w:r>
      <w:r w:rsidR="005B00E1">
        <w:t>&gt;</w:t>
      </w:r>
      <w:r w:rsidR="00203C72">
        <w:t xml:space="preserve"> conclusions of the investigation. </w:t>
      </w:r>
    </w:p>
    <w:p w:rsidR="000206D2" w:rsidRPr="00FD2F50" w:rsidRDefault="00203C72" w:rsidP="00CC1EF4">
      <w:r>
        <w:t xml:space="preserve">Appendix A provides a brief </w:t>
      </w:r>
      <w:r w:rsidR="005B00E1">
        <w:t>description</w:t>
      </w:r>
      <w:r>
        <w:t xml:space="preserve"> of SMART-AF.</w:t>
      </w:r>
      <w:r w:rsidR="006116FD">
        <w:t xml:space="preserve"> </w:t>
      </w:r>
    </w:p>
    <w:p w:rsidR="00CC1EF4" w:rsidRPr="000206D2" w:rsidRDefault="00CC1EF4" w:rsidP="000206D2">
      <w:pPr>
        <w:pStyle w:val="HeaderNum1"/>
      </w:pPr>
      <w:r w:rsidRPr="000206D2">
        <w:t>Use of SOA in &lt;Organization&gt;</w:t>
      </w:r>
    </w:p>
    <w:p w:rsidR="00B30EAF" w:rsidRDefault="00CC1EF4" w:rsidP="00B30EAF">
      <w:pPr>
        <w:rPr>
          <w:i/>
        </w:rPr>
      </w:pPr>
      <w:r w:rsidRPr="00CC1EF4">
        <w:rPr>
          <w:i/>
        </w:rPr>
        <w:t xml:space="preserve">This section describes the history, if any, of SOA </w:t>
      </w:r>
      <w:r w:rsidR="0028335E">
        <w:rPr>
          <w:i/>
        </w:rPr>
        <w:t xml:space="preserve">usage </w:t>
      </w:r>
      <w:r w:rsidRPr="00CC1EF4">
        <w:rPr>
          <w:i/>
        </w:rPr>
        <w:t>within the client organization. It should also include any cou</w:t>
      </w:r>
      <w:r w:rsidR="005B00E1">
        <w:rPr>
          <w:i/>
        </w:rPr>
        <w:t>rses taken, consultants that have</w:t>
      </w:r>
      <w:r w:rsidRPr="00CC1EF4">
        <w:rPr>
          <w:i/>
        </w:rPr>
        <w:t xml:space="preserve"> made presentations on SOA, and internal initiatives taken, including the one that led to the SMART</w:t>
      </w:r>
      <w:r w:rsidR="0028335E">
        <w:rPr>
          <w:i/>
        </w:rPr>
        <w:t>-AF</w:t>
      </w:r>
      <w:r w:rsidRPr="00CC1EF4">
        <w:rPr>
          <w:i/>
        </w:rPr>
        <w:t xml:space="preserve"> engagement.</w:t>
      </w:r>
      <w:r w:rsidR="006F7B2B">
        <w:rPr>
          <w:i/>
        </w:rPr>
        <w:t xml:space="preserve"> </w:t>
      </w:r>
      <w:r w:rsidR="00DC529B">
        <w:t xml:space="preserve"> </w:t>
      </w:r>
      <w:r w:rsidR="00337EB8">
        <w:rPr>
          <w:i/>
        </w:rPr>
        <w:t xml:space="preserve">This section </w:t>
      </w:r>
      <w:r w:rsidR="00DC529B">
        <w:rPr>
          <w:i/>
        </w:rPr>
        <w:t xml:space="preserve">also </w:t>
      </w:r>
      <w:r w:rsidR="00337EB8">
        <w:rPr>
          <w:i/>
        </w:rPr>
        <w:t>describes any current SOA-related activities. It also names the current champion(s) for SOA</w:t>
      </w:r>
      <w:r w:rsidR="002E47D9">
        <w:rPr>
          <w:i/>
        </w:rPr>
        <w:t xml:space="preserve"> adoption</w:t>
      </w:r>
      <w:r w:rsidR="00337EB8">
        <w:rPr>
          <w:i/>
        </w:rPr>
        <w:t xml:space="preserve">, including whoever was responsible for </w:t>
      </w:r>
      <w:r w:rsidR="002E47D9">
        <w:rPr>
          <w:i/>
        </w:rPr>
        <w:t>sponsoring the</w:t>
      </w:r>
      <w:r w:rsidR="00337EB8">
        <w:rPr>
          <w:i/>
        </w:rPr>
        <w:t xml:space="preserve"> SMART</w:t>
      </w:r>
      <w:r w:rsidR="0028335E">
        <w:rPr>
          <w:i/>
        </w:rPr>
        <w:t>-AF</w:t>
      </w:r>
      <w:r w:rsidR="00337EB8">
        <w:rPr>
          <w:i/>
        </w:rPr>
        <w:t xml:space="preserve"> </w:t>
      </w:r>
      <w:r w:rsidR="002E47D9">
        <w:rPr>
          <w:i/>
        </w:rPr>
        <w:t>engagement</w:t>
      </w:r>
      <w:r w:rsidR="00337EB8">
        <w:rPr>
          <w:i/>
        </w:rPr>
        <w:t>.</w:t>
      </w:r>
      <w:r w:rsidR="0028335E">
        <w:rPr>
          <w:i/>
        </w:rPr>
        <w:t xml:space="preserve"> I</w:t>
      </w:r>
      <w:r w:rsidR="00B30EAF">
        <w:rPr>
          <w:i/>
        </w:rPr>
        <w:t xml:space="preserve">f there is technical expertise on SOA present in the organization, this </w:t>
      </w:r>
      <w:proofErr w:type="gramStart"/>
      <w:r w:rsidR="00B30EAF">
        <w:rPr>
          <w:i/>
        </w:rPr>
        <w:t>section  should</w:t>
      </w:r>
      <w:proofErr w:type="gramEnd"/>
      <w:r w:rsidR="00B30EAF">
        <w:rPr>
          <w:i/>
        </w:rPr>
        <w:t xml:space="preserve"> provide specific detail, e.g., names, positions, nature of expertise.</w:t>
      </w:r>
    </w:p>
    <w:p w:rsidR="00CC1EF4" w:rsidRDefault="00C021BF" w:rsidP="00CC1EF4">
      <w:pPr>
        <w:pStyle w:val="Heading1"/>
        <w:numPr>
          <w:ilvl w:val="0"/>
          <w:numId w:val="1"/>
        </w:numPr>
      </w:pPr>
      <w:bookmarkStart w:id="1" w:name="_Ref251241672"/>
      <w:r>
        <w:t>M</w:t>
      </w:r>
      <w:r w:rsidR="00CC1EF4">
        <w:t>ajor Findings and Rationale</w:t>
      </w:r>
      <w:bookmarkEnd w:id="1"/>
    </w:p>
    <w:p w:rsidR="00CC1EF4" w:rsidRPr="00337EB8" w:rsidRDefault="0064691B" w:rsidP="00CC1EF4">
      <w:pPr>
        <w:rPr>
          <w:i/>
        </w:rPr>
      </w:pPr>
      <w:r w:rsidRPr="00337EB8">
        <w:rPr>
          <w:i/>
        </w:rPr>
        <w:t>This section contains two major items: the bottom-line finding on whether it is feasible for the organization to move toward SOA, and the rationale for this finding (</w:t>
      </w:r>
      <w:r w:rsidR="00940551">
        <w:rPr>
          <w:i/>
        </w:rPr>
        <w:t xml:space="preserve">i.e., </w:t>
      </w:r>
      <w:r w:rsidRPr="00337EB8">
        <w:rPr>
          <w:i/>
        </w:rPr>
        <w:t xml:space="preserve">whether the conclusion is positive or negative).  Note that regardless of whether the finding is positive or negative, the rationale will contain both positive and negative elements, since there will inevitably be some factors that point in the opposite direction from the </w:t>
      </w:r>
      <w:r w:rsidR="00A818E9" w:rsidRPr="00337EB8">
        <w:rPr>
          <w:i/>
        </w:rPr>
        <w:t>bottom</w:t>
      </w:r>
      <w:r w:rsidRPr="00337EB8">
        <w:rPr>
          <w:i/>
        </w:rPr>
        <w:t>-line finding.</w:t>
      </w:r>
    </w:p>
    <w:p w:rsidR="0064691B" w:rsidRPr="00337EB8" w:rsidRDefault="0007044D" w:rsidP="00CC1EF4">
      <w:pPr>
        <w:rPr>
          <w:i/>
        </w:rPr>
      </w:pPr>
      <w:r>
        <w:rPr>
          <w:i/>
        </w:rPr>
        <w:t>T</w:t>
      </w:r>
      <w:r w:rsidR="0064691B" w:rsidRPr="00337EB8">
        <w:rPr>
          <w:i/>
        </w:rPr>
        <w:t xml:space="preserve">his section must </w:t>
      </w:r>
      <w:r w:rsidR="00337EB8" w:rsidRPr="00337EB8">
        <w:rPr>
          <w:i/>
        </w:rPr>
        <w:t xml:space="preserve">provide sufficient detail on the essential conclusion </w:t>
      </w:r>
      <w:r w:rsidR="00940551">
        <w:rPr>
          <w:i/>
        </w:rPr>
        <w:t xml:space="preserve">so </w:t>
      </w:r>
      <w:r w:rsidR="00337EB8" w:rsidRPr="00337EB8">
        <w:rPr>
          <w:i/>
        </w:rPr>
        <w:t xml:space="preserve">that the champions of SOA can use this section to make a convincing case to their superiors within the organization.  </w:t>
      </w:r>
    </w:p>
    <w:p w:rsidR="00CC1EF4" w:rsidRDefault="00CC1EF4" w:rsidP="00CC1EF4">
      <w:pPr>
        <w:pStyle w:val="Heading1"/>
        <w:numPr>
          <w:ilvl w:val="0"/>
          <w:numId w:val="1"/>
        </w:numPr>
      </w:pPr>
      <w:bookmarkStart w:id="2" w:name="_Ref251242216"/>
      <w:r>
        <w:t>Next Steps</w:t>
      </w:r>
      <w:bookmarkEnd w:id="2"/>
    </w:p>
    <w:p w:rsidR="00B30EAF" w:rsidRPr="00A818E9" w:rsidRDefault="00B30EAF" w:rsidP="00B30EAF">
      <w:pPr>
        <w:rPr>
          <w:i/>
        </w:rPr>
      </w:pPr>
      <w:r w:rsidRPr="00A818E9">
        <w:rPr>
          <w:i/>
        </w:rPr>
        <w:t>If the bottom-line conclusion is positive regarding SOA</w:t>
      </w:r>
      <w:r w:rsidR="0028335E">
        <w:rPr>
          <w:i/>
        </w:rPr>
        <w:t xml:space="preserve"> adoption</w:t>
      </w:r>
      <w:r w:rsidRPr="00A818E9">
        <w:rPr>
          <w:i/>
        </w:rPr>
        <w:t>, this section should</w:t>
      </w:r>
      <w:r w:rsidR="0007044D">
        <w:rPr>
          <w:i/>
        </w:rPr>
        <w:t xml:space="preserve"> contain recommendations about strategy, </w:t>
      </w:r>
      <w:r w:rsidRPr="00A818E9">
        <w:rPr>
          <w:i/>
        </w:rPr>
        <w:t xml:space="preserve"> </w:t>
      </w:r>
      <w:r w:rsidR="0007044D">
        <w:rPr>
          <w:i/>
        </w:rPr>
        <w:t xml:space="preserve">as well as </w:t>
      </w:r>
      <w:r w:rsidRPr="00A818E9">
        <w:rPr>
          <w:i/>
        </w:rPr>
        <w:t xml:space="preserve"> </w:t>
      </w:r>
      <w:r w:rsidR="0028335E">
        <w:rPr>
          <w:i/>
        </w:rPr>
        <w:t xml:space="preserve">a </w:t>
      </w:r>
      <w:r w:rsidRPr="00A818E9">
        <w:rPr>
          <w:i/>
        </w:rPr>
        <w:t>descr</w:t>
      </w:r>
      <w:r w:rsidR="0028335E">
        <w:rPr>
          <w:i/>
        </w:rPr>
        <w:t>iption</w:t>
      </w:r>
      <w:r w:rsidRPr="00A818E9">
        <w:rPr>
          <w:i/>
        </w:rPr>
        <w:t xml:space="preserve"> </w:t>
      </w:r>
      <w:r w:rsidR="0028335E">
        <w:rPr>
          <w:i/>
        </w:rPr>
        <w:t xml:space="preserve">of </w:t>
      </w:r>
      <w:r w:rsidRPr="00A818E9">
        <w:rPr>
          <w:i/>
        </w:rPr>
        <w:t>general issues</w:t>
      </w:r>
      <w:r w:rsidR="0028335E">
        <w:rPr>
          <w:i/>
        </w:rPr>
        <w:t>,</w:t>
      </w:r>
      <w:r w:rsidRPr="00A818E9">
        <w:rPr>
          <w:i/>
        </w:rPr>
        <w:t xml:space="preserve"> such as the need for ongoing championship, for realism regard</w:t>
      </w:r>
      <w:r w:rsidR="0028335E">
        <w:rPr>
          <w:i/>
        </w:rPr>
        <w:t xml:space="preserve">ing funding and cost issues, </w:t>
      </w:r>
      <w:r w:rsidRPr="00A818E9">
        <w:rPr>
          <w:i/>
        </w:rPr>
        <w:t xml:space="preserve"> for high-level advice on the suggested pace of migration</w:t>
      </w:r>
      <w:r w:rsidR="0028335E">
        <w:rPr>
          <w:i/>
        </w:rPr>
        <w:t>,</w:t>
      </w:r>
      <w:r w:rsidRPr="00A818E9">
        <w:rPr>
          <w:i/>
        </w:rPr>
        <w:t xml:space="preserve"> as well as caution about regarding SOA as a </w:t>
      </w:r>
      <w:r w:rsidR="0028335E">
        <w:rPr>
          <w:i/>
        </w:rPr>
        <w:t>“</w:t>
      </w:r>
      <w:r w:rsidRPr="00A818E9">
        <w:rPr>
          <w:i/>
        </w:rPr>
        <w:t>silver bullet</w:t>
      </w:r>
      <w:r w:rsidR="0028335E">
        <w:rPr>
          <w:i/>
        </w:rPr>
        <w:t>.”</w:t>
      </w:r>
      <w:r w:rsidR="0007044D">
        <w:rPr>
          <w:i/>
        </w:rPr>
        <w:t xml:space="preserve"> The specific items on the </w:t>
      </w:r>
      <w:r w:rsidR="0028335E">
        <w:rPr>
          <w:i/>
        </w:rPr>
        <w:t xml:space="preserve">Adoption Issues </w:t>
      </w:r>
      <w:proofErr w:type="gramStart"/>
      <w:r w:rsidR="0028335E">
        <w:rPr>
          <w:i/>
        </w:rPr>
        <w:t xml:space="preserve">List </w:t>
      </w:r>
      <w:r w:rsidR="0007044D">
        <w:rPr>
          <w:i/>
        </w:rPr>
        <w:t xml:space="preserve"> should</w:t>
      </w:r>
      <w:proofErr w:type="gramEnd"/>
      <w:r w:rsidR="0007044D">
        <w:rPr>
          <w:i/>
        </w:rPr>
        <w:t xml:space="preserve"> be exp</w:t>
      </w:r>
      <w:r w:rsidR="0028335E">
        <w:rPr>
          <w:i/>
        </w:rPr>
        <w:t>a</w:t>
      </w:r>
      <w:r w:rsidR="0007044D">
        <w:rPr>
          <w:i/>
        </w:rPr>
        <w:t>nded in this section.</w:t>
      </w:r>
      <w:r w:rsidRPr="00A818E9">
        <w:rPr>
          <w:i/>
        </w:rPr>
        <w:t>.</w:t>
      </w:r>
    </w:p>
    <w:p w:rsidR="007B1DE6" w:rsidRPr="00A818E9" w:rsidRDefault="00B30EAF" w:rsidP="00B30EAF">
      <w:pPr>
        <w:rPr>
          <w:i/>
        </w:rPr>
      </w:pPr>
      <w:r w:rsidRPr="00A818E9">
        <w:rPr>
          <w:i/>
        </w:rPr>
        <w:t>However, if the bottom-line conclusion is negative, this section is more difficult to define in the abstract. For instance, the</w:t>
      </w:r>
      <w:r w:rsidR="007B1DE6" w:rsidRPr="00A818E9">
        <w:rPr>
          <w:i/>
        </w:rPr>
        <w:t xml:space="preserve">re are many conceivable rationales for a </w:t>
      </w:r>
      <w:r w:rsidR="00A818E9" w:rsidRPr="00A818E9">
        <w:rPr>
          <w:i/>
        </w:rPr>
        <w:t>negative</w:t>
      </w:r>
      <w:r w:rsidRPr="00A818E9">
        <w:rPr>
          <w:i/>
        </w:rPr>
        <w:t xml:space="preserve"> conclusion</w:t>
      </w:r>
      <w:r w:rsidR="007B1DE6" w:rsidRPr="00A818E9">
        <w:rPr>
          <w:i/>
        </w:rPr>
        <w:t>:</w:t>
      </w:r>
    </w:p>
    <w:p w:rsidR="00B30EAF" w:rsidRPr="00A818E9" w:rsidRDefault="005359A4" w:rsidP="007B1DE6">
      <w:pPr>
        <w:pStyle w:val="ListParagraph"/>
        <w:numPr>
          <w:ilvl w:val="0"/>
          <w:numId w:val="8"/>
        </w:numPr>
        <w:rPr>
          <w:i/>
        </w:rPr>
      </w:pPr>
      <w:r>
        <w:rPr>
          <w:i/>
        </w:rPr>
        <w:t>Do not adopt</w:t>
      </w:r>
      <w:r w:rsidR="00B30EAF" w:rsidRPr="00A818E9">
        <w:rPr>
          <w:i/>
        </w:rPr>
        <w:t xml:space="preserve"> SOA now, but keep looking at it and maybe come back in two years</w:t>
      </w:r>
    </w:p>
    <w:p w:rsidR="007B1DE6" w:rsidRPr="00A818E9" w:rsidRDefault="005359A4" w:rsidP="007B1DE6">
      <w:pPr>
        <w:pStyle w:val="ListParagraph"/>
        <w:numPr>
          <w:ilvl w:val="0"/>
          <w:numId w:val="8"/>
        </w:numPr>
        <w:rPr>
          <w:i/>
        </w:rPr>
      </w:pPr>
      <w:r>
        <w:rPr>
          <w:i/>
        </w:rPr>
        <w:t>Do not adopt</w:t>
      </w:r>
      <w:r w:rsidR="007B1DE6" w:rsidRPr="00A818E9">
        <w:rPr>
          <w:i/>
        </w:rPr>
        <w:t xml:space="preserve"> SOA because your legacy systems are totally inappropriate for migration</w:t>
      </w:r>
      <w:r>
        <w:rPr>
          <w:i/>
        </w:rPr>
        <w:t xml:space="preserve"> to SOA environments</w:t>
      </w:r>
    </w:p>
    <w:p w:rsidR="007B1DE6" w:rsidRPr="00A818E9" w:rsidRDefault="007B1DE6" w:rsidP="007B1DE6">
      <w:pPr>
        <w:pStyle w:val="ListParagraph"/>
        <w:numPr>
          <w:ilvl w:val="0"/>
          <w:numId w:val="8"/>
        </w:numPr>
        <w:rPr>
          <w:i/>
        </w:rPr>
      </w:pPr>
      <w:r w:rsidRPr="00A818E9">
        <w:rPr>
          <w:i/>
        </w:rPr>
        <w:t>Do</w:t>
      </w:r>
      <w:r w:rsidR="005359A4">
        <w:rPr>
          <w:i/>
        </w:rPr>
        <w:t xml:space="preserve"> no</w:t>
      </w:r>
      <w:r w:rsidRPr="00A818E9">
        <w:rPr>
          <w:i/>
        </w:rPr>
        <w:t xml:space="preserve">t </w:t>
      </w:r>
      <w:r w:rsidR="005359A4">
        <w:rPr>
          <w:i/>
        </w:rPr>
        <w:t>adopt</w:t>
      </w:r>
      <w:r w:rsidRPr="00A818E9">
        <w:rPr>
          <w:i/>
        </w:rPr>
        <w:t xml:space="preserve"> SOA because the nature of your mission and required systems just aren’t conducive to a SOA approach</w:t>
      </w:r>
    </w:p>
    <w:p w:rsidR="00CC1EF4" w:rsidRPr="00A818E9" w:rsidRDefault="007B1DE6" w:rsidP="00CC1EF4">
      <w:pPr>
        <w:rPr>
          <w:i/>
        </w:rPr>
      </w:pPr>
      <w:proofErr w:type="gramStart"/>
      <w:r w:rsidRPr="00A818E9">
        <w:rPr>
          <w:i/>
        </w:rPr>
        <w:t>…and so forth.</w:t>
      </w:r>
      <w:proofErr w:type="gramEnd"/>
      <w:r w:rsidRPr="00A818E9">
        <w:rPr>
          <w:i/>
        </w:rPr>
        <w:t xml:space="preserve"> Thus, the general tone of this section will be entirely dependent on the specifics of why SOA </w:t>
      </w:r>
      <w:r w:rsidR="0028335E">
        <w:rPr>
          <w:i/>
        </w:rPr>
        <w:t>i</w:t>
      </w:r>
      <w:r w:rsidRPr="00A818E9">
        <w:rPr>
          <w:i/>
        </w:rPr>
        <w:t>s</w:t>
      </w:r>
      <w:r w:rsidR="0028335E">
        <w:rPr>
          <w:i/>
        </w:rPr>
        <w:t xml:space="preserve"> no</w:t>
      </w:r>
      <w:r w:rsidRPr="00A818E9">
        <w:rPr>
          <w:i/>
        </w:rPr>
        <w:t>t a good idea at this time.</w:t>
      </w:r>
    </w:p>
    <w:p w:rsidR="007B1DE6" w:rsidRDefault="007B1DE6" w:rsidP="00CC1EF4">
      <w:pPr>
        <w:rPr>
          <w:i/>
        </w:rPr>
      </w:pPr>
      <w:r w:rsidRPr="00A818E9">
        <w:rPr>
          <w:i/>
        </w:rPr>
        <w:t xml:space="preserve">However, it is possible to suggest that, whatever the essential content of this section, it contain some degree of high-level recommendations about how the organization’s technology posture should move in to the future. </w:t>
      </w:r>
    </w:p>
    <w:p w:rsidR="00AC67A7" w:rsidRDefault="00AC67A7" w:rsidP="00AC67A7">
      <w:pPr>
        <w:pStyle w:val="HeaderNum1"/>
      </w:pPr>
      <w:r>
        <w:t>References</w:t>
      </w:r>
    </w:p>
    <w:p w:rsidR="00B80655" w:rsidRDefault="00AC67A7" w:rsidP="00B80655">
      <w:pPr>
        <w:tabs>
          <w:tab w:val="left" w:pos="1440"/>
        </w:tabs>
        <w:ind w:left="1440" w:hanging="1440"/>
      </w:pPr>
      <w:r>
        <w:t>[Lewis 08]</w:t>
      </w:r>
      <w:r>
        <w:tab/>
      </w:r>
      <w:r w:rsidR="00B80655" w:rsidRPr="00384020">
        <w:t>Lewis, Grace A.</w:t>
      </w:r>
      <w:r w:rsidR="00B80655">
        <w:t>,</w:t>
      </w:r>
      <w:r w:rsidR="00B80655" w:rsidRPr="00384020">
        <w:t xml:space="preserve"> Morris, Edwin J.</w:t>
      </w:r>
      <w:r w:rsidR="00B80655">
        <w:t>,</w:t>
      </w:r>
      <w:r w:rsidR="00B80655" w:rsidRPr="00384020">
        <w:t xml:space="preserve"> Smith, Dennis B.</w:t>
      </w:r>
      <w:r w:rsidR="00B80655">
        <w:t>, &amp;</w:t>
      </w:r>
      <w:r w:rsidR="00B80655" w:rsidRPr="00384020">
        <w:t xml:space="preserve"> Simanta, Soumya. </w:t>
      </w:r>
      <w:r w:rsidR="00B80655">
        <w:rPr>
          <w:i/>
        </w:rPr>
        <w:t xml:space="preserve">SMART: Analyzing the </w:t>
      </w:r>
      <w:r w:rsidR="00B80655" w:rsidRPr="000A1493">
        <w:rPr>
          <w:i/>
        </w:rPr>
        <w:t>Reuse Potential of Legacy Components in a Service-Oriented Architecture Environment</w:t>
      </w:r>
      <w:r w:rsidR="00B80655" w:rsidRPr="00384020">
        <w:t xml:space="preserve"> (CMU/SEI-2008-TN-008). </w:t>
      </w:r>
      <w:proofErr w:type="gramStart"/>
      <w:r w:rsidR="00B80655" w:rsidRPr="00384020">
        <w:t>Software Engineering Institute, Carnegie Mellon University, 2008.</w:t>
      </w:r>
      <w:proofErr w:type="gramEnd"/>
    </w:p>
    <w:p w:rsidR="005C7CB9" w:rsidRDefault="005C7CB9" w:rsidP="00B80655">
      <w:pPr>
        <w:tabs>
          <w:tab w:val="left" w:pos="1440"/>
        </w:tabs>
        <w:ind w:left="1440" w:hanging="1440"/>
      </w:pPr>
    </w:p>
    <w:p w:rsidR="00EF7293" w:rsidRDefault="00EF7293">
      <w:r>
        <w:br w:type="page"/>
      </w:r>
    </w:p>
    <w:p w:rsidR="00AC67A7" w:rsidRDefault="00AC67A7" w:rsidP="00AC67A7">
      <w:pPr>
        <w:tabs>
          <w:tab w:val="left" w:pos="1440"/>
        </w:tabs>
      </w:pPr>
    </w:p>
    <w:p w:rsidR="007A2100" w:rsidRDefault="007A2100" w:rsidP="007A2100">
      <w:pPr>
        <w:pStyle w:val="Appendix"/>
      </w:pPr>
      <w:r>
        <w:t>Appendix A:</w:t>
      </w:r>
      <w:r w:rsidRPr="00A03413">
        <w:t xml:space="preserve"> </w:t>
      </w:r>
      <w:r>
        <w:t>The Service Migration and Reuse Technique – Adoption Feasibility (SMART-AF)</w:t>
      </w:r>
    </w:p>
    <w:p w:rsidR="00A03413" w:rsidRDefault="00A03413" w:rsidP="00A03413">
      <w:r>
        <w:t xml:space="preserve">The Service Migration and Reuse Technique (SMART) is a family of techniques developed by the SEI for analyzing the potential ways in which an organization </w:t>
      </w:r>
      <w:r w:rsidR="005B00E1">
        <w:t>can make use of service-orientation</w:t>
      </w:r>
      <w:r>
        <w:t xml:space="preserve"> for its software resources</w:t>
      </w:r>
      <w:r w:rsidR="00EF7293">
        <w:t xml:space="preserve"> [Lewis 08]</w:t>
      </w:r>
      <w:r>
        <w:t xml:space="preserve">. </w:t>
      </w:r>
    </w:p>
    <w:p w:rsidR="00A03413" w:rsidRDefault="00A03413" w:rsidP="00A03413">
      <w:r>
        <w:t xml:space="preserve">SMART-AF (Adoption Feasibility) is targeted at organizations that are questioning </w:t>
      </w:r>
      <w:r w:rsidRPr="005A24BE">
        <w:t>feasibility of SOA adoption</w:t>
      </w:r>
      <w:r>
        <w:t xml:space="preserve">. The output of SMART-AF is set of recommendations for the organization and the elements of a SOA </w:t>
      </w:r>
      <w:r w:rsidRPr="005A24BE">
        <w:t>strategy if it is feasible</w:t>
      </w:r>
      <w:r>
        <w:t>. Aspects covered in SMART-AF include:</w:t>
      </w:r>
    </w:p>
    <w:p w:rsidR="00A03413" w:rsidRDefault="00A03413" w:rsidP="00A03413">
      <w:pPr>
        <w:pStyle w:val="ListParagraph"/>
        <w:numPr>
          <w:ilvl w:val="0"/>
          <w:numId w:val="13"/>
        </w:numPr>
      </w:pPr>
      <w:r w:rsidRPr="00892476">
        <w:t xml:space="preserve">Does it make sense to </w:t>
      </w:r>
      <w:r>
        <w:t>adopt a SOA strategy for the organization’s software resources</w:t>
      </w:r>
      <w:r w:rsidRPr="00892476">
        <w:t>?</w:t>
      </w:r>
    </w:p>
    <w:p w:rsidR="00A03413" w:rsidRDefault="00A03413" w:rsidP="00A03413">
      <w:pPr>
        <w:pStyle w:val="ListParagraph"/>
        <w:numPr>
          <w:ilvl w:val="0"/>
          <w:numId w:val="13"/>
        </w:numPr>
      </w:pPr>
      <w:r>
        <w:t>What value would a SOA strategy provide for the organization?</w:t>
      </w:r>
    </w:p>
    <w:p w:rsidR="00A03413" w:rsidRDefault="00A03413" w:rsidP="00A03413">
      <w:pPr>
        <w:pStyle w:val="ListParagraph"/>
        <w:numPr>
          <w:ilvl w:val="0"/>
          <w:numId w:val="13"/>
        </w:numPr>
      </w:pPr>
      <w:r>
        <w:t>Who within the organization is the champion (technical or otherwise) for such a move?</w:t>
      </w:r>
    </w:p>
    <w:p w:rsidR="00A03413" w:rsidRDefault="00A03413" w:rsidP="00A03413">
      <w:pPr>
        <w:pStyle w:val="ListParagraph"/>
        <w:numPr>
          <w:ilvl w:val="0"/>
          <w:numId w:val="13"/>
        </w:numPr>
      </w:pPr>
      <w:r>
        <w:t>How should the organization define an overall SOA strategy across the enterprise?</w:t>
      </w:r>
    </w:p>
    <w:p w:rsidR="00A03413" w:rsidRDefault="00A03413" w:rsidP="00A03413">
      <w:pPr>
        <w:pStyle w:val="ListParagraph"/>
        <w:numPr>
          <w:ilvl w:val="0"/>
          <w:numId w:val="13"/>
        </w:numPr>
      </w:pPr>
      <w:r>
        <w:t>Which legacy systems are ideal candidates for migration to SOA environments?</w:t>
      </w:r>
    </w:p>
    <w:p w:rsidR="00A03413" w:rsidRDefault="00A03413" w:rsidP="00A03413">
      <w:pPr>
        <w:pStyle w:val="ListParagraph"/>
        <w:numPr>
          <w:ilvl w:val="0"/>
          <w:numId w:val="13"/>
        </w:numPr>
      </w:pPr>
      <w:r>
        <w:t>What are characteristics of the service infrastructure that the organization should make use of?</w:t>
      </w:r>
    </w:p>
    <w:p w:rsidR="003B7E2B" w:rsidRDefault="00A03413" w:rsidP="00A03413">
      <w:r>
        <w:t xml:space="preserve">SMART-AF consists of the </w:t>
      </w:r>
      <w:r w:rsidR="005B00E1">
        <w:t>seven</w:t>
      </w:r>
      <w:r>
        <w:t xml:space="preserve"> activities presented in</w:t>
      </w:r>
      <w:r w:rsidR="002719FF">
        <w:t xml:space="preserve"> </w:t>
      </w:r>
      <w:r w:rsidR="00BF57E9">
        <w:fldChar w:fldCharType="begin"/>
      </w:r>
      <w:r w:rsidR="002719FF">
        <w:instrText xml:space="preserve"> REF _Ref251235277 \h </w:instrText>
      </w:r>
      <w:r w:rsidR="00BF57E9">
        <w:fldChar w:fldCharType="separate"/>
      </w:r>
      <w:r w:rsidR="002719FF">
        <w:t xml:space="preserve">Figure </w:t>
      </w:r>
      <w:r w:rsidR="002719FF">
        <w:rPr>
          <w:noProof/>
        </w:rPr>
        <w:t>1</w:t>
      </w:r>
      <w:r w:rsidR="00BF57E9">
        <w:fldChar w:fldCharType="end"/>
      </w:r>
      <w:r w:rsidR="007A2100">
        <w:t>.</w:t>
      </w:r>
    </w:p>
    <w:p w:rsidR="00D42875" w:rsidRDefault="00D47E07" w:rsidP="00D42875">
      <w:pPr>
        <w:keepNext/>
        <w:jc w:val="center"/>
      </w:pPr>
      <w:r>
        <w:rPr>
          <w:noProof/>
          <w:lang w:bidi="ar-SA"/>
        </w:rPr>
        <w:drawing>
          <wp:inline distT="0" distB="0" distL="0" distR="0">
            <wp:extent cx="4028572" cy="3380953"/>
            <wp:effectExtent l="19050" t="0" r="0" b="0"/>
            <wp:docPr id="1" name="Picture 0" descr="tem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bmp"/>
                    <pic:cNvPicPr/>
                  </pic:nvPicPr>
                  <pic:blipFill>
                    <a:blip r:embed="rId11" cstate="print"/>
                    <a:stretch>
                      <a:fillRect/>
                    </a:stretch>
                  </pic:blipFill>
                  <pic:spPr>
                    <a:xfrm>
                      <a:off x="0" y="0"/>
                      <a:ext cx="4028572" cy="3380953"/>
                    </a:xfrm>
                    <a:prstGeom prst="rect">
                      <a:avLst/>
                    </a:prstGeom>
                  </pic:spPr>
                </pic:pic>
              </a:graphicData>
            </a:graphic>
          </wp:inline>
        </w:drawing>
      </w:r>
    </w:p>
    <w:p w:rsidR="00D42875" w:rsidRDefault="00D42875" w:rsidP="00D42875">
      <w:pPr>
        <w:pStyle w:val="Caption"/>
        <w:jc w:val="center"/>
      </w:pPr>
      <w:bookmarkStart w:id="3" w:name="_Ref251235277"/>
      <w:r>
        <w:t xml:space="preserve">Figure </w:t>
      </w:r>
      <w:r w:rsidR="0068762C">
        <w:fldChar w:fldCharType="begin"/>
      </w:r>
      <w:r w:rsidR="0068762C">
        <w:instrText xml:space="preserve"> SEQ Figure \* ARABIC </w:instrText>
      </w:r>
      <w:r w:rsidR="0068762C">
        <w:fldChar w:fldCharType="separate"/>
      </w:r>
      <w:r w:rsidR="002719FF">
        <w:rPr>
          <w:noProof/>
        </w:rPr>
        <w:t>1</w:t>
      </w:r>
      <w:r w:rsidR="0068762C">
        <w:rPr>
          <w:noProof/>
        </w:rPr>
        <w:fldChar w:fldCharType="end"/>
      </w:r>
      <w:bookmarkEnd w:id="3"/>
      <w:r>
        <w:t>: SMART-AF Activities</w:t>
      </w:r>
    </w:p>
    <w:p w:rsidR="006D1E1B" w:rsidRDefault="0068762C" w:rsidP="00D42875">
      <w:pPr>
        <w:jc w:val="center"/>
      </w:pPr>
      <w:r>
        <w:rPr>
          <w:noProof/>
        </w:rPr>
        <w:pict>
          <v:shapetype id="_x0000_t202" coordsize="21600,21600" o:spt="202" path="m,l,21600r21600,l21600,xe">
            <v:stroke joinstyle="miter"/>
            <v:path gradientshapeok="t" o:connecttype="rect"/>
          </v:shapetype>
          <v:shape id="_x0000_s1027" type="#_x0000_t202" style="position:absolute;left:0;text-align:left;margin-left:97.5pt;margin-top:4in;width:261.75pt;height:21pt;z-index:251661312;mso-position-horizontal-relative:text;mso-position-vertical-relative:text" stroked="f">
            <v:textbox style="mso-next-textbox:#_x0000_s1027" inset="0,0,0,0">
              <w:txbxContent>
                <w:p w:rsidR="006D1E1B" w:rsidRPr="00DA5C6D" w:rsidRDefault="006D1E1B" w:rsidP="006D1E1B">
                  <w:pPr>
                    <w:pStyle w:val="Caption"/>
                    <w:jc w:val="center"/>
                    <w:rPr>
                      <w:sz w:val="20"/>
                      <w:szCs w:val="20"/>
                    </w:rPr>
                  </w:pPr>
                </w:p>
              </w:txbxContent>
            </v:textbox>
            <w10:wrap type="topAndBottom"/>
          </v:shape>
        </w:pict>
      </w:r>
    </w:p>
    <w:p w:rsidR="00A03413" w:rsidRDefault="00A03413" w:rsidP="00A03413">
      <w:pPr>
        <w:pStyle w:val="ListParagraph"/>
        <w:numPr>
          <w:ilvl w:val="0"/>
          <w:numId w:val="15"/>
        </w:numPr>
      </w:pPr>
      <w:r w:rsidRPr="00477E63">
        <w:rPr>
          <w:i/>
        </w:rPr>
        <w:t>Establish Context</w:t>
      </w:r>
      <w:r w:rsidRPr="00477E63">
        <w:t xml:space="preserve"> develops an understanding of the goals and expectations of SOA adoption; the programmatic constraints, such as schedule and budget; any other efforts related to SOA; and the existing software asset base of the organization. Appropriate stakeholders and potential participants in the adoption effort are identified, together with an identification of business and operational processes that would benefit from SOA adoption. One critical element of this activity is to determine the identity of</w:t>
      </w:r>
      <w:r>
        <w:t xml:space="preserve"> persons who are SOA champions within the organization, and the degree of SOA expertise available. The end result should be sufficient information to understand the overall context for considering SOA adoption within the organization.</w:t>
      </w:r>
    </w:p>
    <w:p w:rsidR="00A03413" w:rsidRDefault="00A03413" w:rsidP="00A03413">
      <w:pPr>
        <w:pStyle w:val="ListParagraph"/>
        <w:numPr>
          <w:ilvl w:val="0"/>
          <w:numId w:val="15"/>
        </w:numPr>
      </w:pPr>
      <w:r w:rsidRPr="00D2527E">
        <w:rPr>
          <w:i/>
        </w:rPr>
        <w:t>Analyze Business Intent</w:t>
      </w:r>
      <w:r>
        <w:t xml:space="preserve"> obtains detailed data about the business and process drivers for SOA adoption, the risks that SOA adoption might either create or mitigate, and such issues as cost, schedule, and resources available.</w:t>
      </w:r>
    </w:p>
    <w:p w:rsidR="00A03413" w:rsidRDefault="00A03413" w:rsidP="00A03413">
      <w:pPr>
        <w:pStyle w:val="ListParagraph"/>
        <w:numPr>
          <w:ilvl w:val="0"/>
          <w:numId w:val="15"/>
        </w:numPr>
      </w:pPr>
      <w:r w:rsidRPr="00D2527E">
        <w:rPr>
          <w:i/>
        </w:rPr>
        <w:t xml:space="preserve">Analyze Technological </w:t>
      </w:r>
      <w:proofErr w:type="gramStart"/>
      <w:r w:rsidRPr="00D2527E">
        <w:rPr>
          <w:i/>
        </w:rPr>
        <w:t xml:space="preserve">Intent </w:t>
      </w:r>
      <w:r>
        <w:t xml:space="preserve"> obtains</w:t>
      </w:r>
      <w:proofErr w:type="gramEnd"/>
      <w:r>
        <w:t xml:space="preserve"> detailed data on potential technical barriers to SOA adoption, what benefits the organization believes will result from SOA adoption, and the current status of the organizations technology base.</w:t>
      </w:r>
    </w:p>
    <w:p w:rsidR="00A03413" w:rsidRDefault="00A03413" w:rsidP="00A03413">
      <w:pPr>
        <w:pStyle w:val="ListParagraph"/>
        <w:numPr>
          <w:ilvl w:val="0"/>
          <w:numId w:val="15"/>
        </w:numPr>
      </w:pPr>
      <w:r w:rsidRPr="00D2527E">
        <w:rPr>
          <w:i/>
        </w:rPr>
        <w:t>Review Current Technology</w:t>
      </w:r>
      <w:r>
        <w:t xml:space="preserve"> obtains data on the existing software resources of the organization, and the precise nature of the technical expertise in-house.</w:t>
      </w:r>
    </w:p>
    <w:p w:rsidR="00A03413" w:rsidRDefault="00A03413" w:rsidP="00A03413">
      <w:pPr>
        <w:pStyle w:val="ListParagraph"/>
        <w:numPr>
          <w:ilvl w:val="0"/>
          <w:numId w:val="15"/>
        </w:numPr>
      </w:pPr>
      <w:r w:rsidRPr="00D2527E">
        <w:rPr>
          <w:i/>
        </w:rPr>
        <w:t>Establish Success Criteria</w:t>
      </w:r>
      <w:r>
        <w:t xml:space="preserve"> identifies a set of success criteria for potential SOA adoption, including different sets </w:t>
      </w:r>
      <w:proofErr w:type="gramStart"/>
      <w:r>
        <w:t>of  criteria</w:t>
      </w:r>
      <w:proofErr w:type="gramEnd"/>
      <w:r>
        <w:t xml:space="preserve"> for different stakeholders.</w:t>
      </w:r>
    </w:p>
    <w:p w:rsidR="005B00E1" w:rsidRDefault="005B00E1" w:rsidP="00A03413">
      <w:pPr>
        <w:pStyle w:val="ListParagraph"/>
        <w:numPr>
          <w:ilvl w:val="0"/>
          <w:numId w:val="15"/>
        </w:numPr>
      </w:pPr>
      <w:r w:rsidRPr="003F24E5">
        <w:rPr>
          <w:i/>
        </w:rPr>
        <w:t>Review and Corroborate Findings</w:t>
      </w:r>
      <w:r>
        <w:t xml:space="preserve"> </w:t>
      </w:r>
      <w:proofErr w:type="gramStart"/>
      <w:r>
        <w:t>s</w:t>
      </w:r>
      <w:r w:rsidRPr="005B00E1">
        <w:t>ummarize</w:t>
      </w:r>
      <w:r w:rsidR="003F24E5">
        <w:t>s</w:t>
      </w:r>
      <w:r w:rsidRPr="005B00E1">
        <w:t>,</w:t>
      </w:r>
      <w:proofErr w:type="gramEnd"/>
      <w:r w:rsidRPr="005B00E1">
        <w:t xml:space="preserve"> review</w:t>
      </w:r>
      <w:r w:rsidR="003F24E5">
        <w:t>s and verifies</w:t>
      </w:r>
      <w:r w:rsidRPr="005B00E1">
        <w:t xml:space="preserve"> the information gathered in the previous steps</w:t>
      </w:r>
      <w:r w:rsidR="003F24E5">
        <w:t>.</w:t>
      </w:r>
    </w:p>
    <w:p w:rsidR="003F24E5" w:rsidRDefault="003F24E5" w:rsidP="00A03413">
      <w:pPr>
        <w:pStyle w:val="ListParagraph"/>
        <w:numPr>
          <w:ilvl w:val="0"/>
          <w:numId w:val="15"/>
        </w:numPr>
      </w:pPr>
      <w:r w:rsidRPr="003F24E5">
        <w:rPr>
          <w:i/>
        </w:rPr>
        <w:t>Make Feasibility Recommendation</w:t>
      </w:r>
      <w:r>
        <w:t xml:space="preserve"> a</w:t>
      </w:r>
      <w:r w:rsidRPr="003F24E5">
        <w:t>nalyze</w:t>
      </w:r>
      <w:r>
        <w:t>s</w:t>
      </w:r>
      <w:r w:rsidRPr="003F24E5">
        <w:t xml:space="preserve"> the information and prepare</w:t>
      </w:r>
      <w:r>
        <w:t>s</w:t>
      </w:r>
      <w:r w:rsidRPr="003F24E5">
        <w:t xml:space="preserve"> a high-level recommendation either for or against SOA adoption, the rationale for that recommendation, and a strategy for accomplishing the adoption</w:t>
      </w:r>
      <w:r>
        <w:t>.</w:t>
      </w:r>
    </w:p>
    <w:p w:rsidR="00A03413" w:rsidRPr="00ED48AC" w:rsidRDefault="00A03413" w:rsidP="00A03413">
      <w:r w:rsidRPr="00ED48AC">
        <w:t xml:space="preserve">The first four activities, </w:t>
      </w:r>
      <w:r w:rsidRPr="00D2527E">
        <w:rPr>
          <w:i/>
        </w:rPr>
        <w:t>Establish Context</w:t>
      </w:r>
      <w:r w:rsidRPr="00ED48AC">
        <w:t xml:space="preserve">, </w:t>
      </w:r>
      <w:r w:rsidRPr="00D2527E">
        <w:rPr>
          <w:i/>
        </w:rPr>
        <w:t>Analyze Business Intent,</w:t>
      </w:r>
      <w:r w:rsidRPr="00ED48AC">
        <w:t xml:space="preserve"> Analyze </w:t>
      </w:r>
      <w:r w:rsidRPr="00D2527E">
        <w:rPr>
          <w:i/>
        </w:rPr>
        <w:t>Technological Intent</w:t>
      </w:r>
      <w:r w:rsidRPr="00ED48AC">
        <w:t xml:space="preserve">, and </w:t>
      </w:r>
      <w:r w:rsidRPr="00D2527E">
        <w:rPr>
          <w:i/>
        </w:rPr>
        <w:t>Review Current Technology</w:t>
      </w:r>
      <w:r w:rsidRPr="00ED48AC">
        <w:t>, were executed through direct interviews and presentations by  &lt;names&gt;, &lt;roles&gt;, and &lt;organ</w:t>
      </w:r>
      <w:r>
        <w:t>izations such as sub-contractor</w:t>
      </w:r>
      <w:r w:rsidRPr="00ED48AC">
        <w:t xml:space="preserve">s&gt;. </w:t>
      </w:r>
      <w:r w:rsidRPr="000206D2">
        <w:t xml:space="preserve">Other stakeholders whose views were presented include &lt;others&gt;. The end product of SMART-AF is the present document, an </w:t>
      </w:r>
      <w:r w:rsidR="00F343FB" w:rsidRPr="000206D2">
        <w:t>“</w:t>
      </w:r>
      <w:r w:rsidR="00F343FB" w:rsidRPr="005C7CB9">
        <w:rPr>
          <w:i/>
        </w:rPr>
        <w:t>Assessment of SOA Adoption Feasibility</w:t>
      </w:r>
      <w:r w:rsidR="000206D2" w:rsidRPr="000206D2">
        <w:t>.</w:t>
      </w:r>
      <w:r w:rsidR="00F343FB" w:rsidRPr="000206D2">
        <w:t xml:space="preserve">” </w:t>
      </w:r>
    </w:p>
    <w:p w:rsidR="000E1905" w:rsidRDefault="000E1905"/>
    <w:sectPr w:rsidR="000E1905" w:rsidSect="003851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15CC8"/>
    <w:multiLevelType w:val="singleLevel"/>
    <w:tmpl w:val="8C7AB812"/>
    <w:lvl w:ilvl="0">
      <w:start w:val="1"/>
      <w:numFmt w:val="bullet"/>
      <w:pStyle w:val="ListBulleted1"/>
      <w:lvlText w:val=""/>
      <w:lvlJc w:val="left"/>
      <w:pPr>
        <w:tabs>
          <w:tab w:val="num" w:pos="360"/>
        </w:tabs>
        <w:ind w:left="360" w:hanging="360"/>
      </w:pPr>
      <w:rPr>
        <w:rFonts w:ascii="Symbol" w:hAnsi="Symbol" w:hint="default"/>
        <w:sz w:val="16"/>
        <w:szCs w:val="16"/>
      </w:rPr>
    </w:lvl>
  </w:abstractNum>
  <w:abstractNum w:abstractNumId="1">
    <w:nsid w:val="01320CFE"/>
    <w:multiLevelType w:val="hybridMultilevel"/>
    <w:tmpl w:val="3118C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4C23EC"/>
    <w:multiLevelType w:val="hybridMultilevel"/>
    <w:tmpl w:val="B9EC0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2475AA"/>
    <w:multiLevelType w:val="hybridMultilevel"/>
    <w:tmpl w:val="9D4A8BDE"/>
    <w:lvl w:ilvl="0" w:tplc="AAAAEADC">
      <w:start w:val="1"/>
      <w:numFmt w:val="decimal"/>
      <w:pStyle w:val="HeaderNum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40150E8"/>
    <w:multiLevelType w:val="hybridMultilevel"/>
    <w:tmpl w:val="142C2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F60941"/>
    <w:multiLevelType w:val="hybridMultilevel"/>
    <w:tmpl w:val="45543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1F0897"/>
    <w:multiLevelType w:val="hybridMultilevel"/>
    <w:tmpl w:val="1864F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225D3E"/>
    <w:multiLevelType w:val="hybridMultilevel"/>
    <w:tmpl w:val="A77CB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C3754F"/>
    <w:multiLevelType w:val="hybridMultilevel"/>
    <w:tmpl w:val="2E340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45076E8"/>
    <w:multiLevelType w:val="hybridMultilevel"/>
    <w:tmpl w:val="D42AE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9D7915"/>
    <w:multiLevelType w:val="hybridMultilevel"/>
    <w:tmpl w:val="E8D83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EF385F"/>
    <w:multiLevelType w:val="singleLevel"/>
    <w:tmpl w:val="E0B28FBE"/>
    <w:lvl w:ilvl="0">
      <w:start w:val="1"/>
      <w:numFmt w:val="decimal"/>
      <w:lvlRestart w:val="0"/>
      <w:pStyle w:val="ListNumbered1"/>
      <w:lvlText w:val="%1."/>
      <w:legacy w:legacy="1" w:legacySpace="0" w:legacyIndent="432"/>
      <w:lvlJc w:val="left"/>
      <w:pPr>
        <w:ind w:left="432" w:hanging="432"/>
      </w:pPr>
    </w:lvl>
  </w:abstractNum>
  <w:abstractNum w:abstractNumId="12">
    <w:nsid w:val="4FC87D07"/>
    <w:multiLevelType w:val="hybridMultilevel"/>
    <w:tmpl w:val="9F144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477FF0"/>
    <w:multiLevelType w:val="hybridMultilevel"/>
    <w:tmpl w:val="C9400F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3D143D5"/>
    <w:multiLevelType w:val="hybridMultilevel"/>
    <w:tmpl w:val="FA820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630FFA"/>
    <w:multiLevelType w:val="hybridMultilevel"/>
    <w:tmpl w:val="52F292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62B03FC"/>
    <w:multiLevelType w:val="multilevel"/>
    <w:tmpl w:val="123AB8A0"/>
    <w:lvl w:ilvl="0">
      <w:start w:val="1"/>
      <w:numFmt w:val="decimal"/>
      <w:lvlText w:val="%1."/>
      <w:lvlJc w:val="left"/>
      <w:pPr>
        <w:ind w:left="360" w:hanging="360"/>
      </w:pPr>
    </w:lvl>
    <w:lvl w:ilvl="1">
      <w:start w:val="1"/>
      <w:numFmt w:val="decimal"/>
      <w:pStyle w:val="HeadingNum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6816D64"/>
    <w:multiLevelType w:val="hybridMultilevel"/>
    <w:tmpl w:val="DB341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440F2D"/>
    <w:multiLevelType w:val="hybridMultilevel"/>
    <w:tmpl w:val="BB5640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B7E48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137469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F7A79C3"/>
    <w:multiLevelType w:val="hybridMultilevel"/>
    <w:tmpl w:val="2424D1A8"/>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9242892"/>
    <w:multiLevelType w:val="hybridMultilevel"/>
    <w:tmpl w:val="2E1EB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E74325"/>
    <w:multiLevelType w:val="hybridMultilevel"/>
    <w:tmpl w:val="56823316"/>
    <w:lvl w:ilvl="0" w:tplc="037A9CC6">
      <w:start w:val="1"/>
      <w:numFmt w:val="bullet"/>
      <w:lvlText w:val=""/>
      <w:lvlJc w:val="left"/>
      <w:pPr>
        <w:ind w:left="720" w:hanging="360"/>
      </w:pPr>
      <w:rPr>
        <w:rFonts w:ascii="Symbol" w:hAnsi="Symbol" w:hint="default"/>
      </w:rPr>
    </w:lvl>
    <w:lvl w:ilvl="1" w:tplc="C792D7A6" w:tentative="1">
      <w:start w:val="1"/>
      <w:numFmt w:val="bullet"/>
      <w:lvlText w:val="o"/>
      <w:lvlJc w:val="left"/>
      <w:pPr>
        <w:ind w:left="1440" w:hanging="360"/>
      </w:pPr>
      <w:rPr>
        <w:rFonts w:ascii="Courier New" w:hAnsi="Courier New" w:cs="Courier New" w:hint="default"/>
      </w:rPr>
    </w:lvl>
    <w:lvl w:ilvl="2" w:tplc="AC70BFCC" w:tentative="1">
      <w:start w:val="1"/>
      <w:numFmt w:val="bullet"/>
      <w:lvlText w:val=""/>
      <w:lvlJc w:val="left"/>
      <w:pPr>
        <w:ind w:left="2160" w:hanging="360"/>
      </w:pPr>
      <w:rPr>
        <w:rFonts w:ascii="Wingdings" w:hAnsi="Wingdings" w:hint="default"/>
      </w:rPr>
    </w:lvl>
    <w:lvl w:ilvl="3" w:tplc="9B4E7888" w:tentative="1">
      <w:start w:val="1"/>
      <w:numFmt w:val="bullet"/>
      <w:lvlText w:val=""/>
      <w:lvlJc w:val="left"/>
      <w:pPr>
        <w:ind w:left="2880" w:hanging="360"/>
      </w:pPr>
      <w:rPr>
        <w:rFonts w:ascii="Symbol" w:hAnsi="Symbol" w:hint="default"/>
      </w:rPr>
    </w:lvl>
    <w:lvl w:ilvl="4" w:tplc="6132361A" w:tentative="1">
      <w:start w:val="1"/>
      <w:numFmt w:val="bullet"/>
      <w:lvlText w:val="o"/>
      <w:lvlJc w:val="left"/>
      <w:pPr>
        <w:ind w:left="3600" w:hanging="360"/>
      </w:pPr>
      <w:rPr>
        <w:rFonts w:ascii="Courier New" w:hAnsi="Courier New" w:cs="Courier New" w:hint="default"/>
      </w:rPr>
    </w:lvl>
    <w:lvl w:ilvl="5" w:tplc="E8443A34" w:tentative="1">
      <w:start w:val="1"/>
      <w:numFmt w:val="bullet"/>
      <w:lvlText w:val=""/>
      <w:lvlJc w:val="left"/>
      <w:pPr>
        <w:ind w:left="4320" w:hanging="360"/>
      </w:pPr>
      <w:rPr>
        <w:rFonts w:ascii="Wingdings" w:hAnsi="Wingdings" w:hint="default"/>
      </w:rPr>
    </w:lvl>
    <w:lvl w:ilvl="6" w:tplc="44DCF990" w:tentative="1">
      <w:start w:val="1"/>
      <w:numFmt w:val="bullet"/>
      <w:lvlText w:val=""/>
      <w:lvlJc w:val="left"/>
      <w:pPr>
        <w:ind w:left="5040" w:hanging="360"/>
      </w:pPr>
      <w:rPr>
        <w:rFonts w:ascii="Symbol" w:hAnsi="Symbol" w:hint="default"/>
      </w:rPr>
    </w:lvl>
    <w:lvl w:ilvl="7" w:tplc="A38A597E" w:tentative="1">
      <w:start w:val="1"/>
      <w:numFmt w:val="bullet"/>
      <w:lvlText w:val="o"/>
      <w:lvlJc w:val="left"/>
      <w:pPr>
        <w:ind w:left="5760" w:hanging="360"/>
      </w:pPr>
      <w:rPr>
        <w:rFonts w:ascii="Courier New" w:hAnsi="Courier New" w:cs="Courier New" w:hint="default"/>
      </w:rPr>
    </w:lvl>
    <w:lvl w:ilvl="8" w:tplc="AE9640F6"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23"/>
  </w:num>
  <w:num w:numId="4">
    <w:abstractNumId w:val="1"/>
  </w:num>
  <w:num w:numId="5">
    <w:abstractNumId w:val="14"/>
  </w:num>
  <w:num w:numId="6">
    <w:abstractNumId w:val="10"/>
  </w:num>
  <w:num w:numId="7">
    <w:abstractNumId w:val="12"/>
  </w:num>
  <w:num w:numId="8">
    <w:abstractNumId w:val="5"/>
  </w:num>
  <w:num w:numId="9">
    <w:abstractNumId w:val="20"/>
  </w:num>
  <w:num w:numId="10">
    <w:abstractNumId w:val="19"/>
  </w:num>
  <w:num w:numId="11">
    <w:abstractNumId w:val="0"/>
  </w:num>
  <w:num w:numId="12">
    <w:abstractNumId w:val="11"/>
  </w:num>
  <w:num w:numId="13">
    <w:abstractNumId w:val="22"/>
  </w:num>
  <w:num w:numId="14">
    <w:abstractNumId w:val="17"/>
  </w:num>
  <w:num w:numId="15">
    <w:abstractNumId w:val="4"/>
  </w:num>
  <w:num w:numId="16">
    <w:abstractNumId w:val="7"/>
  </w:num>
  <w:num w:numId="17">
    <w:abstractNumId w:val="6"/>
  </w:num>
  <w:num w:numId="18">
    <w:abstractNumId w:val="18"/>
  </w:num>
  <w:num w:numId="19">
    <w:abstractNumId w:val="13"/>
  </w:num>
  <w:num w:numId="20">
    <w:abstractNumId w:val="15"/>
  </w:num>
  <w:num w:numId="21">
    <w:abstractNumId w:val="8"/>
  </w:num>
  <w:num w:numId="22">
    <w:abstractNumId w:val="21"/>
  </w:num>
  <w:num w:numId="23">
    <w:abstractNumId w:val="9"/>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20"/>
  <w:characterSpacingControl w:val="doNotCompress"/>
  <w:savePreviewPicture/>
  <w:compat>
    <w:useFELayout/>
    <w:compatSetting w:name="compatibilityMode" w:uri="http://schemas.microsoft.com/office/word" w:val="12"/>
  </w:compat>
  <w:rsids>
    <w:rsidRoot w:val="00CC1EF4"/>
    <w:rsid w:val="000206D2"/>
    <w:rsid w:val="0007044D"/>
    <w:rsid w:val="00084496"/>
    <w:rsid w:val="000854A3"/>
    <w:rsid w:val="000C6192"/>
    <w:rsid w:val="000E1905"/>
    <w:rsid w:val="00103079"/>
    <w:rsid w:val="00123872"/>
    <w:rsid w:val="001C3424"/>
    <w:rsid w:val="00203C72"/>
    <w:rsid w:val="002241E5"/>
    <w:rsid w:val="00250E48"/>
    <w:rsid w:val="002719FF"/>
    <w:rsid w:val="00274C5E"/>
    <w:rsid w:val="0028335E"/>
    <w:rsid w:val="002E47D9"/>
    <w:rsid w:val="00337EB8"/>
    <w:rsid w:val="003851AB"/>
    <w:rsid w:val="003B7E2B"/>
    <w:rsid w:val="003E7472"/>
    <w:rsid w:val="003F24E5"/>
    <w:rsid w:val="00404838"/>
    <w:rsid w:val="00431A4E"/>
    <w:rsid w:val="00477E63"/>
    <w:rsid w:val="004B6557"/>
    <w:rsid w:val="005359A4"/>
    <w:rsid w:val="0058180A"/>
    <w:rsid w:val="005A24BE"/>
    <w:rsid w:val="005B00E1"/>
    <w:rsid w:val="005C7CB9"/>
    <w:rsid w:val="005E3A5E"/>
    <w:rsid w:val="005F29B9"/>
    <w:rsid w:val="006116FD"/>
    <w:rsid w:val="0064691B"/>
    <w:rsid w:val="0068762C"/>
    <w:rsid w:val="006D1E1B"/>
    <w:rsid w:val="006E1981"/>
    <w:rsid w:val="006E5122"/>
    <w:rsid w:val="006F7B2B"/>
    <w:rsid w:val="0070524A"/>
    <w:rsid w:val="00720531"/>
    <w:rsid w:val="00724E81"/>
    <w:rsid w:val="007352FB"/>
    <w:rsid w:val="007520D6"/>
    <w:rsid w:val="00785ECB"/>
    <w:rsid w:val="007973B1"/>
    <w:rsid w:val="007A2100"/>
    <w:rsid w:val="007B1DE6"/>
    <w:rsid w:val="007B1DEB"/>
    <w:rsid w:val="00846F33"/>
    <w:rsid w:val="008558A6"/>
    <w:rsid w:val="008B3F08"/>
    <w:rsid w:val="008C1D40"/>
    <w:rsid w:val="008C7F4A"/>
    <w:rsid w:val="008F090E"/>
    <w:rsid w:val="008F2C12"/>
    <w:rsid w:val="00906782"/>
    <w:rsid w:val="00940551"/>
    <w:rsid w:val="00956F2A"/>
    <w:rsid w:val="00973B48"/>
    <w:rsid w:val="009851C2"/>
    <w:rsid w:val="009A4068"/>
    <w:rsid w:val="009F3427"/>
    <w:rsid w:val="00A03413"/>
    <w:rsid w:val="00A060A5"/>
    <w:rsid w:val="00A159AD"/>
    <w:rsid w:val="00A6734B"/>
    <w:rsid w:val="00A714F6"/>
    <w:rsid w:val="00A720A5"/>
    <w:rsid w:val="00A818E9"/>
    <w:rsid w:val="00AC48C8"/>
    <w:rsid w:val="00AC67A7"/>
    <w:rsid w:val="00AD1CA0"/>
    <w:rsid w:val="00AE05A9"/>
    <w:rsid w:val="00B30EAF"/>
    <w:rsid w:val="00B3101F"/>
    <w:rsid w:val="00B567C6"/>
    <w:rsid w:val="00B80655"/>
    <w:rsid w:val="00BF57E9"/>
    <w:rsid w:val="00C021BF"/>
    <w:rsid w:val="00C0794B"/>
    <w:rsid w:val="00C76CEA"/>
    <w:rsid w:val="00C91D6F"/>
    <w:rsid w:val="00CC1BD8"/>
    <w:rsid w:val="00CC1EF4"/>
    <w:rsid w:val="00D2527E"/>
    <w:rsid w:val="00D42875"/>
    <w:rsid w:val="00D47E07"/>
    <w:rsid w:val="00D548D1"/>
    <w:rsid w:val="00DA5A3B"/>
    <w:rsid w:val="00DC529B"/>
    <w:rsid w:val="00ED48AC"/>
    <w:rsid w:val="00EE0403"/>
    <w:rsid w:val="00EF7293"/>
    <w:rsid w:val="00F25EA2"/>
    <w:rsid w:val="00F343FB"/>
    <w:rsid w:val="00FA076D"/>
    <w:rsid w:val="00FD2F50"/>
    <w:rsid w:val="00FE6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7D9"/>
    <w:rPr>
      <w:sz w:val="20"/>
      <w:szCs w:val="20"/>
    </w:rPr>
  </w:style>
  <w:style w:type="paragraph" w:styleId="Heading1">
    <w:name w:val="heading 1"/>
    <w:basedOn w:val="Normal"/>
    <w:next w:val="Normal"/>
    <w:link w:val="Heading1Char"/>
    <w:uiPriority w:val="9"/>
    <w:qFormat/>
    <w:rsid w:val="002E47D9"/>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2E47D9"/>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2E47D9"/>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2E47D9"/>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unhideWhenUsed/>
    <w:qFormat/>
    <w:rsid w:val="002E47D9"/>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unhideWhenUsed/>
    <w:qFormat/>
    <w:rsid w:val="002E47D9"/>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unhideWhenUsed/>
    <w:qFormat/>
    <w:rsid w:val="002E47D9"/>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unhideWhenUsed/>
    <w:qFormat/>
    <w:rsid w:val="002E47D9"/>
    <w:pPr>
      <w:spacing w:before="300" w:after="0"/>
      <w:outlineLvl w:val="7"/>
    </w:pPr>
    <w:rPr>
      <w:caps/>
      <w:spacing w:val="10"/>
      <w:sz w:val="18"/>
      <w:szCs w:val="18"/>
    </w:rPr>
  </w:style>
  <w:style w:type="paragraph" w:styleId="Heading9">
    <w:name w:val="heading 9"/>
    <w:basedOn w:val="Normal"/>
    <w:next w:val="Normal"/>
    <w:link w:val="Heading9Char"/>
    <w:uiPriority w:val="9"/>
    <w:unhideWhenUsed/>
    <w:qFormat/>
    <w:rsid w:val="002E47D9"/>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7D9"/>
    <w:rPr>
      <w:b/>
      <w:bCs/>
      <w:caps/>
      <w:color w:val="FFFFFF" w:themeColor="background1"/>
      <w:spacing w:val="15"/>
      <w:shd w:val="clear" w:color="auto" w:fill="4F81BD" w:themeFill="accent1"/>
    </w:rPr>
  </w:style>
  <w:style w:type="paragraph" w:customStyle="1" w:styleId="HeaderNum1">
    <w:name w:val="HeaderNum 1"/>
    <w:basedOn w:val="Heading1"/>
    <w:link w:val="HeaderNum1Char"/>
    <w:qFormat/>
    <w:rsid w:val="00CC1EF4"/>
    <w:pPr>
      <w:numPr>
        <w:numId w:val="1"/>
      </w:numPr>
    </w:pPr>
  </w:style>
  <w:style w:type="character" w:customStyle="1" w:styleId="Heading2Char">
    <w:name w:val="Heading 2 Char"/>
    <w:basedOn w:val="DefaultParagraphFont"/>
    <w:link w:val="Heading2"/>
    <w:uiPriority w:val="9"/>
    <w:rsid w:val="002E47D9"/>
    <w:rPr>
      <w:caps/>
      <w:spacing w:val="15"/>
      <w:shd w:val="clear" w:color="auto" w:fill="DBE5F1" w:themeFill="accent1" w:themeFillTint="33"/>
    </w:rPr>
  </w:style>
  <w:style w:type="character" w:customStyle="1" w:styleId="HeaderNum1Char">
    <w:name w:val="HeaderNum 1 Char"/>
    <w:basedOn w:val="Heading1Char"/>
    <w:link w:val="HeaderNum1"/>
    <w:rsid w:val="00CC1EF4"/>
    <w:rPr>
      <w:b/>
      <w:bCs/>
      <w:caps/>
      <w:color w:val="FFFFFF" w:themeColor="background1"/>
      <w:spacing w:val="15"/>
      <w:shd w:val="clear" w:color="auto" w:fill="4F81BD" w:themeFill="accent1"/>
    </w:rPr>
  </w:style>
  <w:style w:type="paragraph" w:customStyle="1" w:styleId="HeadingNum2">
    <w:name w:val="HeadingNum 2"/>
    <w:basedOn w:val="HeaderNum1"/>
    <w:link w:val="HeadingNum2Char"/>
    <w:qFormat/>
    <w:rsid w:val="00CC1EF4"/>
    <w:pPr>
      <w:numPr>
        <w:ilvl w:val="1"/>
        <w:numId w:val="2"/>
      </w:numPr>
    </w:pPr>
  </w:style>
  <w:style w:type="paragraph" w:styleId="ListParagraph">
    <w:name w:val="List Paragraph"/>
    <w:basedOn w:val="Normal"/>
    <w:uiPriority w:val="34"/>
    <w:qFormat/>
    <w:rsid w:val="002E47D9"/>
    <w:pPr>
      <w:ind w:left="720"/>
      <w:contextualSpacing/>
    </w:pPr>
  </w:style>
  <w:style w:type="character" w:customStyle="1" w:styleId="HeadingNum2Char">
    <w:name w:val="HeadingNum 2 Char"/>
    <w:basedOn w:val="HeaderNum1Char"/>
    <w:link w:val="HeadingNum2"/>
    <w:rsid w:val="00CC1EF4"/>
    <w:rPr>
      <w:b/>
      <w:bCs/>
      <w:caps/>
      <w:color w:val="FFFFFF" w:themeColor="background1"/>
      <w:spacing w:val="15"/>
      <w:shd w:val="clear" w:color="auto" w:fill="4F81BD" w:themeFill="accent1"/>
    </w:rPr>
  </w:style>
  <w:style w:type="character" w:customStyle="1" w:styleId="Heading3Char">
    <w:name w:val="Heading 3 Char"/>
    <w:basedOn w:val="DefaultParagraphFont"/>
    <w:link w:val="Heading3"/>
    <w:uiPriority w:val="9"/>
    <w:rsid w:val="002E47D9"/>
    <w:rPr>
      <w:caps/>
      <w:color w:val="243F60" w:themeColor="accent1" w:themeShade="7F"/>
      <w:spacing w:val="15"/>
    </w:rPr>
  </w:style>
  <w:style w:type="character" w:customStyle="1" w:styleId="Heading4Char">
    <w:name w:val="Heading 4 Char"/>
    <w:basedOn w:val="DefaultParagraphFont"/>
    <w:link w:val="Heading4"/>
    <w:uiPriority w:val="9"/>
    <w:rsid w:val="002E47D9"/>
    <w:rPr>
      <w:caps/>
      <w:color w:val="365F91" w:themeColor="accent1" w:themeShade="BF"/>
      <w:spacing w:val="10"/>
    </w:rPr>
  </w:style>
  <w:style w:type="character" w:customStyle="1" w:styleId="Heading5Char">
    <w:name w:val="Heading 5 Char"/>
    <w:basedOn w:val="DefaultParagraphFont"/>
    <w:link w:val="Heading5"/>
    <w:uiPriority w:val="9"/>
    <w:rsid w:val="002E47D9"/>
    <w:rPr>
      <w:caps/>
      <w:color w:val="365F91" w:themeColor="accent1" w:themeShade="BF"/>
      <w:spacing w:val="10"/>
    </w:rPr>
  </w:style>
  <w:style w:type="character" w:customStyle="1" w:styleId="Heading6Char">
    <w:name w:val="Heading 6 Char"/>
    <w:basedOn w:val="DefaultParagraphFont"/>
    <w:link w:val="Heading6"/>
    <w:uiPriority w:val="9"/>
    <w:rsid w:val="002E47D9"/>
    <w:rPr>
      <w:caps/>
      <w:color w:val="365F91" w:themeColor="accent1" w:themeShade="BF"/>
      <w:spacing w:val="10"/>
    </w:rPr>
  </w:style>
  <w:style w:type="character" w:customStyle="1" w:styleId="Heading7Char">
    <w:name w:val="Heading 7 Char"/>
    <w:basedOn w:val="DefaultParagraphFont"/>
    <w:link w:val="Heading7"/>
    <w:uiPriority w:val="9"/>
    <w:rsid w:val="002E47D9"/>
    <w:rPr>
      <w:caps/>
      <w:color w:val="365F91" w:themeColor="accent1" w:themeShade="BF"/>
      <w:spacing w:val="10"/>
    </w:rPr>
  </w:style>
  <w:style w:type="character" w:customStyle="1" w:styleId="Heading8Char">
    <w:name w:val="Heading 8 Char"/>
    <w:basedOn w:val="DefaultParagraphFont"/>
    <w:link w:val="Heading8"/>
    <w:uiPriority w:val="9"/>
    <w:rsid w:val="002E47D9"/>
    <w:rPr>
      <w:caps/>
      <w:spacing w:val="10"/>
      <w:sz w:val="18"/>
      <w:szCs w:val="18"/>
    </w:rPr>
  </w:style>
  <w:style w:type="character" w:customStyle="1" w:styleId="Heading9Char">
    <w:name w:val="Heading 9 Char"/>
    <w:basedOn w:val="DefaultParagraphFont"/>
    <w:link w:val="Heading9"/>
    <w:uiPriority w:val="9"/>
    <w:rsid w:val="002E47D9"/>
    <w:rPr>
      <w:i/>
      <w:caps/>
      <w:spacing w:val="10"/>
      <w:sz w:val="18"/>
      <w:szCs w:val="18"/>
    </w:rPr>
  </w:style>
  <w:style w:type="paragraph" w:customStyle="1" w:styleId="Body">
    <w:name w:val="Body"/>
    <w:rsid w:val="00A720A5"/>
    <w:pPr>
      <w:tabs>
        <w:tab w:val="left" w:pos="216"/>
      </w:tabs>
      <w:spacing w:before="80" w:after="80" w:line="290" w:lineRule="atLeast"/>
    </w:pPr>
    <w:rPr>
      <w:rFonts w:ascii="Times New Roman" w:eastAsia="Times New Roman" w:hAnsi="Times New Roman" w:cs="Times New Roman"/>
      <w:color w:val="000000"/>
      <w:kern w:val="22"/>
      <w:sz w:val="21"/>
      <w:szCs w:val="20"/>
    </w:rPr>
  </w:style>
  <w:style w:type="paragraph" w:customStyle="1" w:styleId="ListBulleted1">
    <w:name w:val="List Bulleted 1"/>
    <w:qFormat/>
    <w:rsid w:val="00A720A5"/>
    <w:pPr>
      <w:numPr>
        <w:numId w:val="11"/>
      </w:numPr>
      <w:tabs>
        <w:tab w:val="clear" w:pos="360"/>
        <w:tab w:val="left" w:pos="432"/>
      </w:tabs>
      <w:spacing w:before="20" w:after="60" w:line="290" w:lineRule="atLeast"/>
      <w:ind w:left="432" w:hanging="432"/>
    </w:pPr>
    <w:rPr>
      <w:rFonts w:ascii="Times New Roman" w:eastAsia="Times New Roman" w:hAnsi="Times New Roman" w:cs="Times New Roman"/>
      <w:kern w:val="22"/>
      <w:sz w:val="21"/>
      <w:szCs w:val="20"/>
    </w:rPr>
  </w:style>
  <w:style w:type="paragraph" w:styleId="Caption">
    <w:name w:val="caption"/>
    <w:basedOn w:val="Normal"/>
    <w:next w:val="Normal"/>
    <w:uiPriority w:val="35"/>
    <w:unhideWhenUsed/>
    <w:qFormat/>
    <w:rsid w:val="002E47D9"/>
    <w:rPr>
      <w:b/>
      <w:bCs/>
      <w:color w:val="365F91" w:themeColor="accent1" w:themeShade="BF"/>
      <w:sz w:val="16"/>
      <w:szCs w:val="16"/>
    </w:rPr>
  </w:style>
  <w:style w:type="paragraph" w:customStyle="1" w:styleId="ListNumbered1">
    <w:name w:val="List Numbered 1"/>
    <w:basedOn w:val="Body"/>
    <w:rsid w:val="00A720A5"/>
    <w:pPr>
      <w:numPr>
        <w:numId w:val="12"/>
      </w:numPr>
      <w:tabs>
        <w:tab w:val="left" w:pos="432"/>
      </w:tabs>
      <w:spacing w:before="20" w:after="60"/>
    </w:pPr>
  </w:style>
  <w:style w:type="paragraph" w:styleId="BalloonText">
    <w:name w:val="Balloon Text"/>
    <w:basedOn w:val="Normal"/>
    <w:link w:val="BalloonTextChar"/>
    <w:uiPriority w:val="99"/>
    <w:semiHidden/>
    <w:unhideWhenUsed/>
    <w:rsid w:val="00A720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0A5"/>
    <w:rPr>
      <w:rFonts w:ascii="Tahoma" w:hAnsi="Tahoma" w:cs="Tahoma"/>
      <w:sz w:val="16"/>
      <w:szCs w:val="16"/>
    </w:rPr>
  </w:style>
  <w:style w:type="paragraph" w:styleId="Title">
    <w:name w:val="Title"/>
    <w:basedOn w:val="Normal"/>
    <w:next w:val="Normal"/>
    <w:link w:val="TitleChar"/>
    <w:uiPriority w:val="10"/>
    <w:qFormat/>
    <w:rsid w:val="002E47D9"/>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2E47D9"/>
    <w:rPr>
      <w:caps/>
      <w:color w:val="4F81BD" w:themeColor="accent1"/>
      <w:spacing w:val="10"/>
      <w:kern w:val="28"/>
      <w:sz w:val="52"/>
      <w:szCs w:val="52"/>
    </w:rPr>
  </w:style>
  <w:style w:type="paragraph" w:styleId="Subtitle">
    <w:name w:val="Subtitle"/>
    <w:basedOn w:val="Normal"/>
    <w:next w:val="Normal"/>
    <w:link w:val="SubtitleChar"/>
    <w:uiPriority w:val="11"/>
    <w:qFormat/>
    <w:rsid w:val="002E47D9"/>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2E47D9"/>
    <w:rPr>
      <w:caps/>
      <w:color w:val="595959" w:themeColor="text1" w:themeTint="A6"/>
      <w:spacing w:val="10"/>
      <w:sz w:val="24"/>
      <w:szCs w:val="24"/>
    </w:rPr>
  </w:style>
  <w:style w:type="character" w:styleId="Strong">
    <w:name w:val="Strong"/>
    <w:uiPriority w:val="22"/>
    <w:qFormat/>
    <w:rsid w:val="002E47D9"/>
    <w:rPr>
      <w:b/>
      <w:bCs/>
    </w:rPr>
  </w:style>
  <w:style w:type="character" w:styleId="Emphasis">
    <w:name w:val="Emphasis"/>
    <w:uiPriority w:val="20"/>
    <w:qFormat/>
    <w:rsid w:val="002E47D9"/>
    <w:rPr>
      <w:caps/>
      <w:color w:val="243F60" w:themeColor="accent1" w:themeShade="7F"/>
      <w:spacing w:val="5"/>
    </w:rPr>
  </w:style>
  <w:style w:type="paragraph" w:styleId="NoSpacing">
    <w:name w:val="No Spacing"/>
    <w:basedOn w:val="Normal"/>
    <w:link w:val="NoSpacingChar"/>
    <w:uiPriority w:val="1"/>
    <w:qFormat/>
    <w:rsid w:val="002E47D9"/>
    <w:pPr>
      <w:spacing w:before="0" w:after="0" w:line="240" w:lineRule="auto"/>
    </w:pPr>
  </w:style>
  <w:style w:type="character" w:customStyle="1" w:styleId="NoSpacingChar">
    <w:name w:val="No Spacing Char"/>
    <w:basedOn w:val="DefaultParagraphFont"/>
    <w:link w:val="NoSpacing"/>
    <w:uiPriority w:val="1"/>
    <w:rsid w:val="002E47D9"/>
    <w:rPr>
      <w:sz w:val="20"/>
      <w:szCs w:val="20"/>
    </w:rPr>
  </w:style>
  <w:style w:type="paragraph" w:styleId="Quote">
    <w:name w:val="Quote"/>
    <w:basedOn w:val="Normal"/>
    <w:next w:val="Normal"/>
    <w:link w:val="QuoteChar"/>
    <w:uiPriority w:val="29"/>
    <w:qFormat/>
    <w:rsid w:val="002E47D9"/>
    <w:rPr>
      <w:i/>
      <w:iCs/>
    </w:rPr>
  </w:style>
  <w:style w:type="character" w:customStyle="1" w:styleId="QuoteChar">
    <w:name w:val="Quote Char"/>
    <w:basedOn w:val="DefaultParagraphFont"/>
    <w:link w:val="Quote"/>
    <w:uiPriority w:val="29"/>
    <w:rsid w:val="002E47D9"/>
    <w:rPr>
      <w:i/>
      <w:iCs/>
      <w:sz w:val="20"/>
      <w:szCs w:val="20"/>
    </w:rPr>
  </w:style>
  <w:style w:type="paragraph" w:styleId="IntenseQuote">
    <w:name w:val="Intense Quote"/>
    <w:basedOn w:val="Normal"/>
    <w:next w:val="Normal"/>
    <w:link w:val="IntenseQuoteChar"/>
    <w:uiPriority w:val="30"/>
    <w:qFormat/>
    <w:rsid w:val="002E47D9"/>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2E47D9"/>
    <w:rPr>
      <w:i/>
      <w:iCs/>
      <w:color w:val="4F81BD" w:themeColor="accent1"/>
      <w:sz w:val="20"/>
      <w:szCs w:val="20"/>
    </w:rPr>
  </w:style>
  <w:style w:type="character" w:styleId="SubtleEmphasis">
    <w:name w:val="Subtle Emphasis"/>
    <w:uiPriority w:val="19"/>
    <w:qFormat/>
    <w:rsid w:val="002E47D9"/>
    <w:rPr>
      <w:i/>
      <w:iCs/>
      <w:color w:val="243F60" w:themeColor="accent1" w:themeShade="7F"/>
    </w:rPr>
  </w:style>
  <w:style w:type="character" w:styleId="IntenseEmphasis">
    <w:name w:val="Intense Emphasis"/>
    <w:uiPriority w:val="21"/>
    <w:qFormat/>
    <w:rsid w:val="002E47D9"/>
    <w:rPr>
      <w:b/>
      <w:bCs/>
      <w:caps/>
      <w:color w:val="243F60" w:themeColor="accent1" w:themeShade="7F"/>
      <w:spacing w:val="10"/>
    </w:rPr>
  </w:style>
  <w:style w:type="character" w:styleId="SubtleReference">
    <w:name w:val="Subtle Reference"/>
    <w:uiPriority w:val="31"/>
    <w:qFormat/>
    <w:rsid w:val="002E47D9"/>
    <w:rPr>
      <w:b/>
      <w:bCs/>
      <w:color w:val="4F81BD" w:themeColor="accent1"/>
    </w:rPr>
  </w:style>
  <w:style w:type="character" w:styleId="IntenseReference">
    <w:name w:val="Intense Reference"/>
    <w:uiPriority w:val="32"/>
    <w:qFormat/>
    <w:rsid w:val="002E47D9"/>
    <w:rPr>
      <w:b/>
      <w:bCs/>
      <w:i/>
      <w:iCs/>
      <w:caps/>
      <w:color w:val="4F81BD" w:themeColor="accent1"/>
    </w:rPr>
  </w:style>
  <w:style w:type="character" w:styleId="BookTitle">
    <w:name w:val="Book Title"/>
    <w:uiPriority w:val="33"/>
    <w:qFormat/>
    <w:rsid w:val="002E47D9"/>
    <w:rPr>
      <w:b/>
      <w:bCs/>
      <w:i/>
      <w:iCs/>
      <w:spacing w:val="9"/>
    </w:rPr>
  </w:style>
  <w:style w:type="paragraph" w:styleId="TOCHeading">
    <w:name w:val="TOC Heading"/>
    <w:basedOn w:val="Heading1"/>
    <w:next w:val="Normal"/>
    <w:uiPriority w:val="39"/>
    <w:semiHidden/>
    <w:unhideWhenUsed/>
    <w:qFormat/>
    <w:rsid w:val="002E47D9"/>
    <w:pPr>
      <w:outlineLvl w:val="9"/>
    </w:pPr>
  </w:style>
  <w:style w:type="character" w:styleId="CommentReference">
    <w:name w:val="annotation reference"/>
    <w:basedOn w:val="DefaultParagraphFont"/>
    <w:uiPriority w:val="99"/>
    <w:semiHidden/>
    <w:unhideWhenUsed/>
    <w:rsid w:val="002E47D9"/>
    <w:rPr>
      <w:sz w:val="16"/>
      <w:szCs w:val="16"/>
    </w:rPr>
  </w:style>
  <w:style w:type="paragraph" w:styleId="CommentText">
    <w:name w:val="annotation text"/>
    <w:basedOn w:val="Normal"/>
    <w:link w:val="CommentTextChar"/>
    <w:uiPriority w:val="99"/>
    <w:semiHidden/>
    <w:unhideWhenUsed/>
    <w:rsid w:val="002E47D9"/>
    <w:pPr>
      <w:spacing w:line="240" w:lineRule="auto"/>
    </w:pPr>
  </w:style>
  <w:style w:type="character" w:customStyle="1" w:styleId="CommentTextChar">
    <w:name w:val="Comment Text Char"/>
    <w:basedOn w:val="DefaultParagraphFont"/>
    <w:link w:val="CommentText"/>
    <w:uiPriority w:val="99"/>
    <w:semiHidden/>
    <w:rsid w:val="002E47D9"/>
    <w:rPr>
      <w:sz w:val="20"/>
      <w:szCs w:val="20"/>
    </w:rPr>
  </w:style>
  <w:style w:type="paragraph" w:styleId="CommentSubject">
    <w:name w:val="annotation subject"/>
    <w:basedOn w:val="CommentText"/>
    <w:next w:val="CommentText"/>
    <w:link w:val="CommentSubjectChar"/>
    <w:uiPriority w:val="99"/>
    <w:semiHidden/>
    <w:unhideWhenUsed/>
    <w:rsid w:val="002E47D9"/>
    <w:rPr>
      <w:b/>
      <w:bCs/>
    </w:rPr>
  </w:style>
  <w:style w:type="character" w:customStyle="1" w:styleId="CommentSubjectChar">
    <w:name w:val="Comment Subject Char"/>
    <w:basedOn w:val="CommentTextChar"/>
    <w:link w:val="CommentSubject"/>
    <w:uiPriority w:val="99"/>
    <w:semiHidden/>
    <w:rsid w:val="002E47D9"/>
    <w:rPr>
      <w:b/>
      <w:bCs/>
      <w:sz w:val="20"/>
      <w:szCs w:val="20"/>
    </w:rPr>
  </w:style>
  <w:style w:type="paragraph" w:styleId="Revision">
    <w:name w:val="Revision"/>
    <w:hidden/>
    <w:uiPriority w:val="99"/>
    <w:semiHidden/>
    <w:rsid w:val="002E47D9"/>
    <w:pPr>
      <w:spacing w:before="0" w:after="0" w:line="240" w:lineRule="auto"/>
    </w:pPr>
    <w:rPr>
      <w:sz w:val="20"/>
      <w:szCs w:val="20"/>
    </w:rPr>
  </w:style>
  <w:style w:type="paragraph" w:customStyle="1" w:styleId="Appendix">
    <w:name w:val="Appendix"/>
    <w:basedOn w:val="Heading1"/>
    <w:qFormat/>
    <w:rsid w:val="007A2100"/>
  </w:style>
  <w:style w:type="paragraph" w:customStyle="1" w:styleId="Bib-Entry">
    <w:name w:val="Bib-Entry"/>
    <w:basedOn w:val="Normal"/>
    <w:next w:val="Normal"/>
    <w:qFormat/>
    <w:rsid w:val="00B80655"/>
    <w:pPr>
      <w:tabs>
        <w:tab w:val="left" w:pos="216"/>
      </w:tabs>
      <w:spacing w:before="0" w:after="0" w:line="260" w:lineRule="atLeast"/>
    </w:pPr>
    <w:rPr>
      <w:rFonts w:ascii="Times New Roman" w:eastAsia="Times New Roman" w:hAnsi="Times New Roman" w:cs="Times New Roman"/>
      <w:color w:val="000000"/>
      <w:kern w:val="22"/>
      <w:sz w:val="21"/>
      <w:szCs w:val="18"/>
      <w:lang w:bidi="ar-SA"/>
    </w:rPr>
  </w:style>
  <w:style w:type="character" w:styleId="Hyperlink">
    <w:name w:val="Hyperlink"/>
    <w:basedOn w:val="DefaultParagraphFont"/>
    <w:uiPriority w:val="99"/>
    <w:unhideWhenUsed/>
    <w:rsid w:val="000E190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10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mailto:permission@sei.cmu.edu"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588A2-B234-4FF1-84A0-A27F73BE22E5}">
  <ds:schemaRefs>
    <ds:schemaRef ds:uri="http://purl.org/dc/elements/1.1/"/>
    <ds:schemaRef ds:uri="http://www.w3.org/XML/1998/namespace"/>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E8F0AC4-C26B-4515-93EA-47353F15D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51109AC-0686-4901-AA20-BDF54A934618}">
  <ds:schemaRefs>
    <ds:schemaRef ds:uri="http://schemas.microsoft.com/sharepoint/v3/contenttype/forms"/>
  </ds:schemaRefs>
</ds:datastoreItem>
</file>

<file path=customXml/itemProps4.xml><?xml version="1.0" encoding="utf-8"?>
<ds:datastoreItem xmlns:ds="http://schemas.openxmlformats.org/officeDocument/2006/customXml" ds:itemID="{9CFAD03B-97C1-489B-A34B-C92B4EA0A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1739</Words>
  <Characters>9916</Characters>
  <Application>Microsoft Office Word</Application>
  <DocSecurity>0</DocSecurity>
  <Lines>82</Lines>
  <Paragraphs>23</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    EXECUTIVE SUMMARY</vt:lpstr>
      <vt:lpstr>    Introduction</vt:lpstr>
      <vt:lpstr>Use of SOA in &lt;Organization&gt;</vt:lpstr>
      <vt:lpstr>Major Findings and Rationale</vt:lpstr>
      <vt:lpstr>Next Steps</vt:lpstr>
      <vt:lpstr>References</vt:lpstr>
      <vt:lpstr>Appendix A: The Service Migration and Reuse Technique – Adoption Feasibility (SM</vt:lpstr>
    </vt:vector>
  </TitlesOfParts>
  <Company>Software Engineering Institute</Company>
  <LinksUpToDate>false</LinksUpToDate>
  <CharactersWithSpaces>11632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djc</dc:creator>
  <cp:lastModifiedBy>cdixon</cp:lastModifiedBy>
  <cp:revision>4</cp:revision>
  <cp:lastPrinted>2010-01-14T17:25:00Z</cp:lastPrinted>
  <dcterms:created xsi:type="dcterms:W3CDTF">2013-02-04T16:06:00Z</dcterms:created>
  <dcterms:modified xsi:type="dcterms:W3CDTF">2013-02-04T16:31:00Z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